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69" w:rsidRPr="004E150C" w:rsidRDefault="00A60969" w:rsidP="00A60969">
      <w:pPr>
        <w:pStyle w:val="Default"/>
        <w:ind w:right="-360"/>
        <w:rPr>
          <w:b/>
          <w:sz w:val="26"/>
          <w:szCs w:val="26"/>
          <w:lang w:val="en-US"/>
        </w:rPr>
      </w:pPr>
      <w:r w:rsidRPr="004E150C">
        <w:rPr>
          <w:b/>
          <w:noProof/>
          <w:sz w:val="26"/>
          <w:szCs w:val="26"/>
          <w:lang w:eastAsia="el-GR"/>
        </w:rPr>
        <w:drawing>
          <wp:inline distT="0" distB="0" distL="0" distR="0">
            <wp:extent cx="5272709" cy="326003"/>
            <wp:effectExtent l="19050" t="0" r="4141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69" w:rsidRDefault="00A60969" w:rsidP="00A60969">
      <w:pPr>
        <w:pStyle w:val="Default"/>
        <w:ind w:right="-360"/>
        <w:rPr>
          <w:sz w:val="26"/>
          <w:szCs w:val="26"/>
        </w:rPr>
      </w:pPr>
      <w:r>
        <w:rPr>
          <w:sz w:val="26"/>
          <w:szCs w:val="26"/>
        </w:rPr>
        <w:t xml:space="preserve">ΠΕΤΡΑΚΗ 8 Τ.Κ. 105 63 - ΑΘΗΝΑ ΤΗΛ: 210.32.59.170 – FAX: 210.32.59.169 </w:t>
      </w:r>
    </w:p>
    <w:p w:rsidR="00A60969" w:rsidRPr="00A60969" w:rsidRDefault="00A60969" w:rsidP="00A60969">
      <w:pPr>
        <w:pStyle w:val="Default"/>
        <w:ind w:left="-360" w:righ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969" w:rsidRPr="00E446E0" w:rsidRDefault="00A60969" w:rsidP="00A60969">
      <w:pPr>
        <w:pStyle w:val="Default"/>
        <w:ind w:left="-360" w:right="18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46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Ενημερωτικό Σημείωμα </w:t>
      </w:r>
    </w:p>
    <w:p w:rsidR="00A60969" w:rsidRPr="00CD5E41" w:rsidRDefault="00945E31" w:rsidP="00945E31">
      <w:pPr>
        <w:pStyle w:val="Default"/>
        <w:ind w:left="-709" w:right="-199"/>
        <w:jc w:val="center"/>
        <w:rPr>
          <w:rFonts w:ascii="Times New Roman" w:hAnsi="Times New Roman" w:cs="Times New Roman"/>
          <w:sz w:val="26"/>
          <w:szCs w:val="26"/>
        </w:rPr>
      </w:pPr>
      <w:r w:rsidRPr="00CD5E41">
        <w:rPr>
          <w:rFonts w:ascii="Times New Roman" w:hAnsi="Times New Roman" w:cs="Times New Roman"/>
          <w:b/>
          <w:bCs/>
          <w:sz w:val="26"/>
          <w:szCs w:val="26"/>
        </w:rPr>
        <w:t xml:space="preserve">Γενικός &amp; </w:t>
      </w:r>
      <w:r w:rsidR="00A60969" w:rsidRPr="00CD5E41">
        <w:rPr>
          <w:rFonts w:ascii="Times New Roman" w:hAnsi="Times New Roman" w:cs="Times New Roman"/>
          <w:b/>
          <w:bCs/>
          <w:sz w:val="26"/>
          <w:szCs w:val="26"/>
        </w:rPr>
        <w:t xml:space="preserve">Εποχικά διορθωμένος Δείκτης Κύκλου Εργασιών </w:t>
      </w:r>
      <w:r w:rsidR="00C97511" w:rsidRPr="00CD5E41">
        <w:rPr>
          <w:rFonts w:ascii="Times New Roman" w:hAnsi="Times New Roman" w:cs="Times New Roman"/>
          <w:b/>
          <w:bCs/>
          <w:sz w:val="26"/>
          <w:szCs w:val="26"/>
        </w:rPr>
        <w:t>&amp;</w:t>
      </w:r>
      <w:r w:rsidR="00A60969" w:rsidRPr="00CD5E41">
        <w:rPr>
          <w:rFonts w:ascii="Times New Roman" w:hAnsi="Times New Roman" w:cs="Times New Roman"/>
          <w:b/>
          <w:bCs/>
          <w:sz w:val="26"/>
          <w:szCs w:val="26"/>
        </w:rPr>
        <w:t xml:space="preserve"> Δείκτης Όγκου στο Λιανικό Εμπόριο για το μήνα </w:t>
      </w:r>
      <w:r w:rsidR="00956048">
        <w:rPr>
          <w:rFonts w:ascii="Times New Roman" w:hAnsi="Times New Roman" w:cs="Times New Roman"/>
          <w:b/>
          <w:bCs/>
          <w:sz w:val="26"/>
          <w:szCs w:val="26"/>
        </w:rPr>
        <w:t>Ιανουάριο</w:t>
      </w:r>
      <w:r w:rsidR="0060667F" w:rsidRPr="001D2E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0969" w:rsidRPr="00CD5E41">
        <w:rPr>
          <w:rFonts w:ascii="Times New Roman" w:hAnsi="Times New Roman" w:cs="Times New Roman"/>
          <w:b/>
          <w:bCs/>
          <w:sz w:val="26"/>
          <w:szCs w:val="26"/>
        </w:rPr>
        <w:t>του 20</w:t>
      </w:r>
      <w:r w:rsidR="00956048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A60969" w:rsidRPr="00C055F9" w:rsidRDefault="00A60969" w:rsidP="00A60969">
      <w:pPr>
        <w:pStyle w:val="Default"/>
        <w:spacing w:before="60"/>
        <w:ind w:left="-360"/>
        <w:jc w:val="both"/>
        <w:rPr>
          <w:rFonts w:ascii="Times New Roman" w:hAnsi="Times New Roman" w:cs="Times New Roman"/>
          <w:sz w:val="25"/>
          <w:szCs w:val="25"/>
        </w:rPr>
      </w:pPr>
    </w:p>
    <w:p w:rsidR="00CD5E41" w:rsidRPr="00CD5E41" w:rsidRDefault="00CD5E41" w:rsidP="000C0579">
      <w:pPr>
        <w:pStyle w:val="Default"/>
        <w:spacing w:after="120" w:line="276" w:lineRule="auto"/>
        <w:ind w:left="-709" w:right="-3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1CDF">
        <w:rPr>
          <w:rFonts w:ascii="Times New Roman" w:hAnsi="Times New Roman" w:cs="Times New Roman"/>
          <w:b/>
          <w:bCs/>
          <w:sz w:val="32"/>
          <w:szCs w:val="32"/>
        </w:rPr>
        <w:t xml:space="preserve">-  </w:t>
      </w:r>
      <w:r w:rsidR="000C0579">
        <w:rPr>
          <w:rFonts w:ascii="Times New Roman" w:hAnsi="Times New Roman" w:cs="Times New Roman"/>
          <w:b/>
          <w:bCs/>
          <w:sz w:val="32"/>
          <w:szCs w:val="32"/>
        </w:rPr>
        <w:t>Εντυπωσιακή ετήσια αύξηση 10,1</w:t>
      </w:r>
      <w:r w:rsidRPr="007B1ED4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Pr="009F1CDF">
        <w:rPr>
          <w:rFonts w:ascii="Times New Roman" w:hAnsi="Times New Roman" w:cs="Times New Roman"/>
          <w:b/>
          <w:bCs/>
          <w:sz w:val="32"/>
          <w:szCs w:val="32"/>
        </w:rPr>
        <w:t xml:space="preserve"> τον </w:t>
      </w:r>
      <w:r w:rsidR="00956048">
        <w:rPr>
          <w:rFonts w:ascii="Times New Roman" w:hAnsi="Times New Roman" w:cs="Times New Roman"/>
          <w:b/>
          <w:bCs/>
          <w:sz w:val="32"/>
          <w:szCs w:val="32"/>
        </w:rPr>
        <w:t>Ιανουάριο</w:t>
      </w:r>
      <w:r w:rsidRPr="001D2E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1CDF">
        <w:rPr>
          <w:rFonts w:ascii="Times New Roman" w:hAnsi="Times New Roman" w:cs="Times New Roman"/>
          <w:b/>
          <w:bCs/>
          <w:sz w:val="32"/>
          <w:szCs w:val="32"/>
        </w:rPr>
        <w:t>του 20</w:t>
      </w:r>
      <w:r w:rsidR="00956048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9F1CDF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</w:p>
    <w:p w:rsidR="00CD5E41" w:rsidRDefault="00CD5E41" w:rsidP="00B80015">
      <w:pPr>
        <w:pStyle w:val="Default"/>
        <w:spacing w:after="120" w:line="276" w:lineRule="auto"/>
        <w:ind w:left="-357"/>
        <w:jc w:val="both"/>
        <w:rPr>
          <w:rFonts w:ascii="Times New Roman" w:hAnsi="Times New Roman" w:cs="Times New Roman"/>
          <w:sz w:val="25"/>
          <w:szCs w:val="25"/>
        </w:rPr>
      </w:pPr>
    </w:p>
    <w:p w:rsidR="002244D0" w:rsidRDefault="00A60969" w:rsidP="00B80015">
      <w:pPr>
        <w:pStyle w:val="Default"/>
        <w:spacing w:after="120" w:line="276" w:lineRule="auto"/>
        <w:ind w:left="-357"/>
        <w:jc w:val="both"/>
        <w:rPr>
          <w:rFonts w:ascii="Times New Roman" w:hAnsi="Times New Roman" w:cs="Times New Roman"/>
          <w:sz w:val="25"/>
          <w:szCs w:val="25"/>
        </w:rPr>
      </w:pPr>
      <w:r w:rsidRPr="005A013E">
        <w:rPr>
          <w:rFonts w:ascii="Times New Roman" w:hAnsi="Times New Roman" w:cs="Times New Roman"/>
          <w:sz w:val="25"/>
          <w:szCs w:val="25"/>
        </w:rPr>
        <w:t xml:space="preserve">Η Ελληνική Στατιστική Αρχή, ανακοίνωσε τον </w:t>
      </w:r>
      <w:r w:rsidR="00945E31">
        <w:rPr>
          <w:rFonts w:ascii="Times New Roman" w:hAnsi="Times New Roman" w:cs="Times New Roman"/>
          <w:sz w:val="25"/>
          <w:szCs w:val="25"/>
        </w:rPr>
        <w:t xml:space="preserve">Γενικό και </w:t>
      </w:r>
      <w:r w:rsidRPr="005A013E">
        <w:rPr>
          <w:rFonts w:ascii="Times New Roman" w:hAnsi="Times New Roman" w:cs="Times New Roman"/>
          <w:sz w:val="25"/>
          <w:szCs w:val="25"/>
        </w:rPr>
        <w:t>Εποχικά διορθωμένο ως προς την επίδραση μηνιαίων γεγονότων (π.χ</w:t>
      </w:r>
      <w:r w:rsidR="00C97511" w:rsidRPr="005A013E">
        <w:rPr>
          <w:rFonts w:ascii="Times New Roman" w:hAnsi="Times New Roman" w:cs="Times New Roman"/>
          <w:sz w:val="25"/>
          <w:szCs w:val="25"/>
        </w:rPr>
        <w:t>.</w:t>
      </w:r>
      <w:r w:rsidRPr="005A013E">
        <w:rPr>
          <w:rFonts w:ascii="Times New Roman" w:hAnsi="Times New Roman" w:cs="Times New Roman"/>
          <w:sz w:val="25"/>
          <w:szCs w:val="25"/>
        </w:rPr>
        <w:t xml:space="preserve"> έναρξη σχολικής περιόδου, θρησκευτικές εορτές, τουριστική περίοδος κ.λ.π) Δείκτη Κύκλου Εργασιών και Δείκτη Όγκου στο Λιανικό Εμπόριο, για το μήνα </w:t>
      </w:r>
      <w:r w:rsidR="00956048">
        <w:rPr>
          <w:rFonts w:ascii="Times New Roman" w:hAnsi="Times New Roman" w:cs="Times New Roman"/>
          <w:b/>
          <w:sz w:val="25"/>
          <w:szCs w:val="25"/>
        </w:rPr>
        <w:t>Ιανουάριο</w:t>
      </w:r>
      <w:r w:rsidRPr="001D2EF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5A013E">
        <w:rPr>
          <w:rFonts w:ascii="Times New Roman" w:hAnsi="Times New Roman" w:cs="Times New Roman"/>
          <w:sz w:val="25"/>
          <w:szCs w:val="25"/>
        </w:rPr>
        <w:t xml:space="preserve">του </w:t>
      </w:r>
      <w:r w:rsidR="00956048">
        <w:rPr>
          <w:rFonts w:ascii="Times New Roman" w:hAnsi="Times New Roman" w:cs="Times New Roman"/>
          <w:b/>
          <w:bCs/>
          <w:sz w:val="25"/>
          <w:szCs w:val="25"/>
        </w:rPr>
        <w:t>2020</w:t>
      </w:r>
      <w:r w:rsidRPr="005A013E">
        <w:rPr>
          <w:rFonts w:ascii="Times New Roman" w:hAnsi="Times New Roman" w:cs="Times New Roman"/>
          <w:b/>
          <w:bCs/>
          <w:sz w:val="25"/>
          <w:szCs w:val="25"/>
        </w:rPr>
        <w:t xml:space="preserve"> (έτος βάσης 201</w:t>
      </w:r>
      <w:r w:rsidR="00995800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Pr="005A013E">
        <w:rPr>
          <w:rFonts w:ascii="Times New Roman" w:hAnsi="Times New Roman" w:cs="Times New Roman"/>
          <w:b/>
          <w:bCs/>
          <w:sz w:val="25"/>
          <w:szCs w:val="25"/>
        </w:rPr>
        <w:t>=100,0)</w:t>
      </w:r>
      <w:r w:rsidRPr="005A013E">
        <w:rPr>
          <w:rFonts w:ascii="Times New Roman" w:hAnsi="Times New Roman" w:cs="Times New Roman"/>
          <w:sz w:val="25"/>
          <w:szCs w:val="25"/>
        </w:rPr>
        <w:t>. Ακολουθεί η εξέλιξη των δύο δεικτών με τις ετήσιες και μηνιαίες μεταβολές τους.</w:t>
      </w:r>
      <w:r w:rsidRPr="00353AFD">
        <w:rPr>
          <w:rFonts w:ascii="Times New Roman" w:hAnsi="Times New Roman" w:cs="Times New Roman"/>
          <w:sz w:val="25"/>
          <w:szCs w:val="25"/>
        </w:rPr>
        <w:t xml:space="preserve"> </w:t>
      </w:r>
      <w:r w:rsidR="002244D0">
        <w:rPr>
          <w:rFonts w:ascii="Times New Roman" w:hAnsi="Times New Roman" w:cs="Times New Roman"/>
          <w:sz w:val="25"/>
          <w:szCs w:val="25"/>
        </w:rPr>
        <w:tab/>
      </w:r>
    </w:p>
    <w:p w:rsidR="00B80015" w:rsidRPr="00105313" w:rsidRDefault="00B80015" w:rsidP="002165A9">
      <w:pPr>
        <w:pStyle w:val="Default"/>
        <w:shd w:val="clear" w:color="auto" w:fill="B8CCE4" w:themeFill="accent1" w:themeFillTint="66"/>
        <w:spacing w:after="120" w:line="276" w:lineRule="auto"/>
        <w:ind w:left="-357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05313">
        <w:rPr>
          <w:rFonts w:ascii="Times New Roman" w:hAnsi="Times New Roman" w:cs="Times New Roman"/>
          <w:b/>
          <w:i/>
          <w:sz w:val="26"/>
          <w:szCs w:val="26"/>
          <w:u w:val="single"/>
        </w:rPr>
        <w:t>Επισημάνσεις:</w:t>
      </w:r>
    </w:p>
    <w:p w:rsidR="00D5380D" w:rsidRPr="000C0579" w:rsidRDefault="00D5380D" w:rsidP="002165A9">
      <w:pPr>
        <w:pStyle w:val="Default"/>
        <w:shd w:val="clear" w:color="auto" w:fill="B8CCE4" w:themeFill="accent1" w:themeFillTint="66"/>
        <w:spacing w:after="120" w:line="276" w:lineRule="auto"/>
        <w:ind w:left="-357"/>
        <w:jc w:val="both"/>
        <w:rPr>
          <w:rFonts w:ascii="Times New Roman" w:hAnsi="Times New Roman" w:cs="Times New Roman"/>
          <w:sz w:val="25"/>
          <w:szCs w:val="25"/>
        </w:rPr>
      </w:pPr>
      <w:r w:rsidRPr="000C0579">
        <w:rPr>
          <w:rFonts w:ascii="Times New Roman" w:hAnsi="Times New Roman" w:cs="Times New Roman"/>
          <w:sz w:val="25"/>
          <w:szCs w:val="25"/>
        </w:rPr>
        <w:t xml:space="preserve">-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Αξιοσημείωτη άνοδο</w:t>
      </w:r>
      <w:r w:rsidRPr="000C05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05313" w:rsidRPr="000C0579">
        <w:rPr>
          <w:rFonts w:ascii="Times New Roman" w:hAnsi="Times New Roman" w:cs="Times New Roman"/>
          <w:sz w:val="25"/>
          <w:szCs w:val="25"/>
        </w:rPr>
        <w:t>κατά</w:t>
      </w:r>
      <w:r w:rsidR="00105313" w:rsidRPr="000C05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10</w:t>
      </w:r>
      <w:r w:rsidRPr="000C0579">
        <w:rPr>
          <w:rFonts w:ascii="Times New Roman" w:hAnsi="Times New Roman" w:cs="Times New Roman"/>
          <w:b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1</w:t>
      </w:r>
      <w:r w:rsidRPr="000C0579">
        <w:rPr>
          <w:rFonts w:ascii="Times New Roman" w:hAnsi="Times New Roman" w:cs="Times New Roman"/>
          <w:b/>
          <w:sz w:val="25"/>
          <w:szCs w:val="25"/>
        </w:rPr>
        <w:t>%</w:t>
      </w:r>
      <w:r w:rsidR="00480923" w:rsidRPr="000C0579">
        <w:rPr>
          <w:rFonts w:ascii="Times New Roman" w:hAnsi="Times New Roman" w:cs="Times New Roman"/>
          <w:b/>
          <w:sz w:val="25"/>
          <w:szCs w:val="25"/>
        </w:rPr>
        <w:t xml:space="preserve"> (με τα καύσιμα) </w:t>
      </w:r>
      <w:r w:rsidR="00B86811" w:rsidRPr="000C0579">
        <w:rPr>
          <w:rFonts w:ascii="Times New Roman" w:hAnsi="Times New Roman" w:cs="Times New Roman"/>
          <w:sz w:val="25"/>
          <w:szCs w:val="25"/>
        </w:rPr>
        <w:t>και</w:t>
      </w:r>
      <w:r w:rsidR="00B86811" w:rsidRPr="000C05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κατά</w:t>
      </w:r>
      <w:r w:rsidR="00480923" w:rsidRPr="000C05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8</w:t>
      </w:r>
      <w:r w:rsidR="00480923" w:rsidRPr="000C0579">
        <w:rPr>
          <w:rFonts w:ascii="Times New Roman" w:hAnsi="Times New Roman" w:cs="Times New Roman"/>
          <w:b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9</w:t>
      </w:r>
      <w:r w:rsidR="00480923" w:rsidRPr="000C0579">
        <w:rPr>
          <w:rFonts w:ascii="Times New Roman" w:hAnsi="Times New Roman" w:cs="Times New Roman"/>
          <w:b/>
          <w:sz w:val="25"/>
          <w:szCs w:val="25"/>
        </w:rPr>
        <w:t>% (χωρίς τα καύσιμα)</w:t>
      </w:r>
      <w:r w:rsidR="00837246" w:rsidRPr="000C0579">
        <w:rPr>
          <w:rFonts w:ascii="Times New Roman" w:hAnsi="Times New Roman" w:cs="Times New Roman"/>
          <w:sz w:val="25"/>
          <w:szCs w:val="25"/>
        </w:rPr>
        <w:t>,  σημείωσε ο τζίρος στο λιανικό ε</w:t>
      </w:r>
      <w:r w:rsidRPr="000C0579">
        <w:rPr>
          <w:rFonts w:ascii="Times New Roman" w:hAnsi="Times New Roman" w:cs="Times New Roman"/>
          <w:sz w:val="25"/>
          <w:szCs w:val="25"/>
        </w:rPr>
        <w:t xml:space="preserve">μπόριο σε </w:t>
      </w:r>
      <w:r w:rsidRPr="000C0579">
        <w:rPr>
          <w:rFonts w:ascii="Times New Roman" w:hAnsi="Times New Roman" w:cs="Times New Roman"/>
          <w:b/>
          <w:sz w:val="25"/>
          <w:szCs w:val="25"/>
        </w:rPr>
        <w:t>ετήσια βάση</w:t>
      </w:r>
      <w:r w:rsidRPr="000C0579">
        <w:rPr>
          <w:rFonts w:ascii="Times New Roman" w:hAnsi="Times New Roman" w:cs="Times New Roman"/>
          <w:sz w:val="25"/>
          <w:szCs w:val="25"/>
        </w:rPr>
        <w:t xml:space="preserve"> το διάστημα </w:t>
      </w:r>
      <w:r w:rsidR="000C0579" w:rsidRPr="000C0579">
        <w:rPr>
          <w:rFonts w:ascii="Times New Roman" w:hAnsi="Times New Roman" w:cs="Times New Roman"/>
          <w:sz w:val="25"/>
          <w:szCs w:val="25"/>
        </w:rPr>
        <w:t>Ιανουαρίου</w:t>
      </w:r>
      <w:r w:rsidRPr="000C0579">
        <w:rPr>
          <w:rFonts w:ascii="Times New Roman" w:hAnsi="Times New Roman" w:cs="Times New Roman"/>
          <w:sz w:val="25"/>
          <w:szCs w:val="25"/>
        </w:rPr>
        <w:t xml:space="preserve"> 20</w:t>
      </w:r>
      <w:r w:rsidR="000C0579" w:rsidRPr="000C0579">
        <w:rPr>
          <w:rFonts w:ascii="Times New Roman" w:hAnsi="Times New Roman" w:cs="Times New Roman"/>
          <w:sz w:val="25"/>
          <w:szCs w:val="25"/>
        </w:rPr>
        <w:t>20</w:t>
      </w:r>
      <w:r w:rsidRPr="000C0579">
        <w:rPr>
          <w:rFonts w:ascii="Times New Roman" w:hAnsi="Times New Roman" w:cs="Times New Roman"/>
          <w:sz w:val="25"/>
          <w:szCs w:val="25"/>
        </w:rPr>
        <w:t>/201</w:t>
      </w:r>
      <w:r w:rsidR="000C0579" w:rsidRPr="000C0579">
        <w:rPr>
          <w:rFonts w:ascii="Times New Roman" w:hAnsi="Times New Roman" w:cs="Times New Roman"/>
          <w:sz w:val="25"/>
          <w:szCs w:val="25"/>
        </w:rPr>
        <w:t>9</w:t>
      </w:r>
      <w:r w:rsidRPr="000C0579">
        <w:rPr>
          <w:rFonts w:ascii="Times New Roman" w:hAnsi="Times New Roman" w:cs="Times New Roman"/>
          <w:sz w:val="25"/>
          <w:szCs w:val="25"/>
        </w:rPr>
        <w:t>.</w:t>
      </w:r>
    </w:p>
    <w:p w:rsidR="00D5380D" w:rsidRPr="000C0579" w:rsidRDefault="00D5380D" w:rsidP="002165A9">
      <w:pPr>
        <w:pStyle w:val="Default"/>
        <w:shd w:val="clear" w:color="auto" w:fill="B8CCE4" w:themeFill="accent1" w:themeFillTint="66"/>
        <w:spacing w:after="120" w:line="276" w:lineRule="auto"/>
        <w:ind w:left="-357"/>
        <w:jc w:val="both"/>
        <w:rPr>
          <w:rFonts w:ascii="Times New Roman" w:hAnsi="Times New Roman" w:cs="Times New Roman"/>
          <w:sz w:val="25"/>
          <w:szCs w:val="25"/>
        </w:rPr>
      </w:pPr>
      <w:r w:rsidRPr="000C0579">
        <w:rPr>
          <w:rFonts w:ascii="Times New Roman" w:hAnsi="Times New Roman" w:cs="Times New Roman"/>
          <w:sz w:val="25"/>
          <w:szCs w:val="25"/>
        </w:rPr>
        <w:t xml:space="preserve">- </w:t>
      </w:r>
      <w:r w:rsidR="00130B6C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Pr="000C0579">
        <w:rPr>
          <w:rFonts w:ascii="Times New Roman" w:hAnsi="Times New Roman" w:cs="Times New Roman"/>
          <w:sz w:val="25"/>
          <w:szCs w:val="25"/>
        </w:rPr>
        <w:t xml:space="preserve">Οι </w:t>
      </w:r>
      <w:r w:rsidR="00130B6C" w:rsidRPr="000C0579">
        <w:rPr>
          <w:rFonts w:ascii="Times New Roman" w:hAnsi="Times New Roman" w:cs="Times New Roman"/>
          <w:sz w:val="25"/>
          <w:szCs w:val="25"/>
        </w:rPr>
        <w:t>μεταβολές</w:t>
      </w:r>
      <w:r w:rsidRPr="000C0579">
        <w:rPr>
          <w:rFonts w:ascii="Times New Roman" w:hAnsi="Times New Roman" w:cs="Times New Roman"/>
          <w:sz w:val="25"/>
          <w:szCs w:val="25"/>
        </w:rPr>
        <w:t xml:space="preserve"> του </w:t>
      </w:r>
      <w:r w:rsidRPr="000C0579">
        <w:rPr>
          <w:rFonts w:ascii="Times New Roman" w:hAnsi="Times New Roman" w:cs="Times New Roman"/>
          <w:b/>
          <w:sz w:val="25"/>
          <w:szCs w:val="25"/>
        </w:rPr>
        <w:t xml:space="preserve">όγκου </w:t>
      </w:r>
      <w:r w:rsidR="00130B6C" w:rsidRPr="000C0579">
        <w:rPr>
          <w:rFonts w:ascii="Times New Roman" w:hAnsi="Times New Roman" w:cs="Times New Roman"/>
          <w:b/>
          <w:sz w:val="25"/>
          <w:szCs w:val="25"/>
        </w:rPr>
        <w:t>πωλήσεων λιανικής</w:t>
      </w:r>
      <w:r w:rsidRPr="000C0579">
        <w:rPr>
          <w:rFonts w:ascii="Times New Roman" w:hAnsi="Times New Roman" w:cs="Times New Roman"/>
          <w:sz w:val="25"/>
          <w:szCs w:val="25"/>
        </w:rPr>
        <w:t xml:space="preserve"> είναι </w:t>
      </w:r>
      <w:r w:rsidR="000C0579" w:rsidRPr="000C0579">
        <w:rPr>
          <w:rFonts w:ascii="Times New Roman" w:hAnsi="Times New Roman" w:cs="Times New Roman"/>
          <w:sz w:val="25"/>
          <w:szCs w:val="25"/>
        </w:rPr>
        <w:t xml:space="preserve">επίσης σημαντικά αυξητικές </w:t>
      </w:r>
      <w:r w:rsidRPr="000C0579">
        <w:rPr>
          <w:rFonts w:ascii="Times New Roman" w:hAnsi="Times New Roman" w:cs="Times New Roman"/>
          <w:sz w:val="25"/>
          <w:szCs w:val="25"/>
        </w:rPr>
        <w:t xml:space="preserve"> σε ετήσια βάση (</w:t>
      </w:r>
      <w:r w:rsidR="000C0579" w:rsidRPr="000C0579">
        <w:rPr>
          <w:rFonts w:ascii="Times New Roman" w:hAnsi="Times New Roman" w:cs="Times New Roman"/>
          <w:sz w:val="25"/>
          <w:szCs w:val="25"/>
        </w:rPr>
        <w:t>Ιανουάριος</w:t>
      </w:r>
      <w:r w:rsidR="00105313" w:rsidRPr="000C0579">
        <w:rPr>
          <w:rFonts w:ascii="Times New Roman" w:hAnsi="Times New Roman" w:cs="Times New Roman"/>
          <w:sz w:val="25"/>
          <w:szCs w:val="25"/>
        </w:rPr>
        <w:t xml:space="preserve"> 20</w:t>
      </w:r>
      <w:r w:rsidR="000C0579" w:rsidRPr="000C0579">
        <w:rPr>
          <w:rFonts w:ascii="Times New Roman" w:hAnsi="Times New Roman" w:cs="Times New Roman"/>
          <w:sz w:val="25"/>
          <w:szCs w:val="25"/>
        </w:rPr>
        <w:t>20</w:t>
      </w:r>
      <w:r w:rsidR="00105313" w:rsidRPr="000C0579">
        <w:rPr>
          <w:rFonts w:ascii="Times New Roman" w:hAnsi="Times New Roman" w:cs="Times New Roman"/>
          <w:sz w:val="25"/>
          <w:szCs w:val="25"/>
        </w:rPr>
        <w:t>/201</w:t>
      </w:r>
      <w:r w:rsidR="000C0579" w:rsidRPr="000C0579">
        <w:rPr>
          <w:rFonts w:ascii="Times New Roman" w:hAnsi="Times New Roman" w:cs="Times New Roman"/>
          <w:sz w:val="25"/>
          <w:szCs w:val="25"/>
        </w:rPr>
        <w:t>9</w:t>
      </w:r>
      <w:r w:rsidR="00105313" w:rsidRPr="000C0579">
        <w:rPr>
          <w:rFonts w:ascii="Times New Roman" w:hAnsi="Times New Roman" w:cs="Times New Roman"/>
          <w:sz w:val="25"/>
          <w:szCs w:val="25"/>
        </w:rPr>
        <w:t xml:space="preserve">) και διαμορφώνονται </w:t>
      </w:r>
      <w:r w:rsidR="00BB628F" w:rsidRPr="000C0579">
        <w:rPr>
          <w:rFonts w:ascii="Times New Roman" w:hAnsi="Times New Roman" w:cs="Times New Roman"/>
          <w:sz w:val="25"/>
          <w:szCs w:val="25"/>
        </w:rPr>
        <w:t xml:space="preserve">σε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8</w:t>
      </w:r>
      <w:r w:rsidR="00BB628F" w:rsidRPr="000C0579">
        <w:rPr>
          <w:rFonts w:ascii="Times New Roman" w:hAnsi="Times New Roman" w:cs="Times New Roman"/>
          <w:b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4</w:t>
      </w:r>
      <w:r w:rsidR="00BB628F" w:rsidRPr="000C0579">
        <w:rPr>
          <w:rFonts w:ascii="Times New Roman" w:hAnsi="Times New Roman" w:cs="Times New Roman"/>
          <w:b/>
          <w:sz w:val="25"/>
          <w:szCs w:val="25"/>
        </w:rPr>
        <w:t>%</w:t>
      </w:r>
      <w:r w:rsidR="00BB628F" w:rsidRPr="000C0579">
        <w:rPr>
          <w:rFonts w:ascii="Times New Roman" w:hAnsi="Times New Roman" w:cs="Times New Roman"/>
          <w:sz w:val="25"/>
          <w:szCs w:val="25"/>
        </w:rPr>
        <w:t xml:space="preserve"> με τα καύσιμα και σε</w:t>
      </w:r>
      <w:r w:rsidR="004214C1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7</w:t>
      </w:r>
      <w:r w:rsidR="00BB628F" w:rsidRPr="000C0579">
        <w:rPr>
          <w:rFonts w:ascii="Times New Roman" w:hAnsi="Times New Roman" w:cs="Times New Roman"/>
          <w:b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9</w:t>
      </w:r>
      <w:r w:rsidR="00BB628F" w:rsidRPr="000C0579">
        <w:rPr>
          <w:rFonts w:ascii="Times New Roman" w:hAnsi="Times New Roman" w:cs="Times New Roman"/>
          <w:b/>
          <w:sz w:val="25"/>
          <w:szCs w:val="25"/>
        </w:rPr>
        <w:t>%</w:t>
      </w:r>
      <w:r w:rsidR="00BB628F" w:rsidRPr="000C0579">
        <w:rPr>
          <w:rFonts w:ascii="Times New Roman" w:hAnsi="Times New Roman" w:cs="Times New Roman"/>
          <w:sz w:val="25"/>
          <w:szCs w:val="25"/>
        </w:rPr>
        <w:t xml:space="preserve"> χωρίς αυτά</w:t>
      </w:r>
      <w:r w:rsidRPr="000C0579">
        <w:rPr>
          <w:rFonts w:ascii="Times New Roman" w:hAnsi="Times New Roman" w:cs="Times New Roman"/>
          <w:sz w:val="25"/>
          <w:szCs w:val="25"/>
        </w:rPr>
        <w:t>.</w:t>
      </w:r>
      <w:r w:rsidR="00055AE0" w:rsidRPr="000C057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30B6C" w:rsidRPr="00105313" w:rsidRDefault="00130B6C" w:rsidP="002165A9">
      <w:pPr>
        <w:pStyle w:val="Default"/>
        <w:shd w:val="clear" w:color="auto" w:fill="B8CCE4" w:themeFill="accent1" w:themeFillTint="66"/>
        <w:spacing w:after="120" w:line="276" w:lineRule="auto"/>
        <w:ind w:left="-357"/>
        <w:jc w:val="both"/>
        <w:rPr>
          <w:rFonts w:ascii="Times New Roman" w:hAnsi="Times New Roman" w:cs="Times New Roman"/>
          <w:sz w:val="25"/>
          <w:szCs w:val="25"/>
        </w:rPr>
      </w:pPr>
      <w:r w:rsidRPr="000C0579">
        <w:rPr>
          <w:rFonts w:ascii="Times New Roman" w:hAnsi="Times New Roman" w:cs="Times New Roman"/>
          <w:sz w:val="25"/>
          <w:szCs w:val="25"/>
        </w:rPr>
        <w:t xml:space="preserve">-  Σε μηνιαία βάση </w:t>
      </w:r>
      <w:r w:rsidR="00BB628F" w:rsidRPr="000C0579">
        <w:rPr>
          <w:rFonts w:ascii="Times New Roman" w:hAnsi="Times New Roman" w:cs="Times New Roman"/>
          <w:sz w:val="25"/>
          <w:szCs w:val="25"/>
        </w:rPr>
        <w:t xml:space="preserve"> (εποχικά διορθωμένοι δείκτες) </w:t>
      </w:r>
      <w:r w:rsidRPr="000C0579">
        <w:rPr>
          <w:rFonts w:ascii="Times New Roman" w:hAnsi="Times New Roman" w:cs="Times New Roman"/>
          <w:sz w:val="25"/>
          <w:szCs w:val="25"/>
        </w:rPr>
        <w:t>καταγράφεται</w:t>
      </w:r>
      <w:r w:rsidR="000C0579" w:rsidRPr="000C0579">
        <w:rPr>
          <w:rFonts w:ascii="Times New Roman" w:hAnsi="Times New Roman" w:cs="Times New Roman"/>
          <w:sz w:val="25"/>
          <w:szCs w:val="25"/>
        </w:rPr>
        <w:t xml:space="preserve"> επίσης, σε μικρότερα όμως επίπεδα,</w:t>
      </w:r>
      <w:r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άνοδος</w:t>
      </w:r>
      <w:r w:rsidR="000C0579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Pr="000C0579">
        <w:rPr>
          <w:rFonts w:ascii="Times New Roman" w:hAnsi="Times New Roman" w:cs="Times New Roman"/>
          <w:sz w:val="25"/>
          <w:szCs w:val="25"/>
        </w:rPr>
        <w:t>της αξίας (</w:t>
      </w:r>
      <w:r w:rsidRPr="000C0579">
        <w:rPr>
          <w:rFonts w:ascii="Times New Roman" w:hAnsi="Times New Roman" w:cs="Times New Roman"/>
          <w:b/>
          <w:sz w:val="25"/>
          <w:szCs w:val="25"/>
        </w:rPr>
        <w:t>τζίρος</w:t>
      </w:r>
      <w:r w:rsidRPr="000C0579">
        <w:rPr>
          <w:rFonts w:ascii="Times New Roman" w:hAnsi="Times New Roman" w:cs="Times New Roman"/>
          <w:sz w:val="25"/>
          <w:szCs w:val="25"/>
        </w:rPr>
        <w:t>) των πωλήσεων (</w:t>
      </w:r>
      <w:r w:rsidR="000C0579" w:rsidRPr="000C0579">
        <w:rPr>
          <w:rFonts w:ascii="Times New Roman" w:hAnsi="Times New Roman" w:cs="Times New Roman"/>
          <w:sz w:val="25"/>
          <w:szCs w:val="25"/>
        </w:rPr>
        <w:t>Ιανουάριος 2020</w:t>
      </w:r>
      <w:r w:rsidRPr="000C0579">
        <w:rPr>
          <w:rFonts w:ascii="Times New Roman" w:hAnsi="Times New Roman" w:cs="Times New Roman"/>
          <w:sz w:val="25"/>
          <w:szCs w:val="25"/>
        </w:rPr>
        <w:t>/</w:t>
      </w:r>
      <w:r w:rsidR="000C0579" w:rsidRPr="000C0579">
        <w:rPr>
          <w:rFonts w:ascii="Times New Roman" w:hAnsi="Times New Roman" w:cs="Times New Roman"/>
          <w:sz w:val="25"/>
          <w:szCs w:val="25"/>
        </w:rPr>
        <w:t>Δεκέμβριος</w:t>
      </w:r>
      <w:r w:rsidR="00CB7E83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BB628F" w:rsidRPr="000C0579">
        <w:rPr>
          <w:rFonts w:ascii="Times New Roman" w:hAnsi="Times New Roman" w:cs="Times New Roman"/>
          <w:sz w:val="25"/>
          <w:szCs w:val="25"/>
        </w:rPr>
        <w:t xml:space="preserve">2019), </w:t>
      </w:r>
      <w:r w:rsidRPr="000C0579">
        <w:rPr>
          <w:rFonts w:ascii="Times New Roman" w:hAnsi="Times New Roman" w:cs="Times New Roman"/>
          <w:sz w:val="25"/>
          <w:szCs w:val="25"/>
        </w:rPr>
        <w:t xml:space="preserve">η οποία </w:t>
      </w:r>
      <w:r w:rsidR="00184826" w:rsidRPr="000C0579">
        <w:rPr>
          <w:rFonts w:ascii="Times New Roman" w:hAnsi="Times New Roman" w:cs="Times New Roman"/>
          <w:sz w:val="25"/>
          <w:szCs w:val="25"/>
        </w:rPr>
        <w:t xml:space="preserve">διαμορφώνεται στο </w:t>
      </w:r>
      <w:r w:rsidR="007A0911" w:rsidRPr="000C0579">
        <w:rPr>
          <w:rFonts w:ascii="Times New Roman" w:hAnsi="Times New Roman" w:cs="Times New Roman"/>
          <w:b/>
          <w:sz w:val="25"/>
          <w:szCs w:val="25"/>
        </w:rPr>
        <w:t>3</w:t>
      </w:r>
      <w:r w:rsidR="00184826" w:rsidRPr="000C0579">
        <w:rPr>
          <w:rFonts w:ascii="Times New Roman" w:hAnsi="Times New Roman" w:cs="Times New Roman"/>
          <w:b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4</w:t>
      </w:r>
      <w:r w:rsidR="00184826" w:rsidRPr="000C0579">
        <w:rPr>
          <w:rFonts w:ascii="Times New Roman" w:hAnsi="Times New Roman" w:cs="Times New Roman"/>
          <w:b/>
          <w:sz w:val="25"/>
          <w:szCs w:val="25"/>
        </w:rPr>
        <w:t>%</w:t>
      </w:r>
      <w:r w:rsidR="00184826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7A0911" w:rsidRPr="000C0579">
        <w:rPr>
          <w:rFonts w:ascii="Times New Roman" w:hAnsi="Times New Roman" w:cs="Times New Roman"/>
          <w:sz w:val="25"/>
          <w:szCs w:val="25"/>
        </w:rPr>
        <w:t xml:space="preserve">με τα </w:t>
      </w:r>
      <w:r w:rsidR="00184826" w:rsidRPr="000C0579">
        <w:rPr>
          <w:rFonts w:ascii="Times New Roman" w:hAnsi="Times New Roman" w:cs="Times New Roman"/>
          <w:sz w:val="25"/>
          <w:szCs w:val="25"/>
        </w:rPr>
        <w:t xml:space="preserve">καύσιμα </w:t>
      </w:r>
      <w:r w:rsidR="007A0911" w:rsidRPr="000C0579">
        <w:rPr>
          <w:rFonts w:ascii="Times New Roman" w:hAnsi="Times New Roman" w:cs="Times New Roman"/>
          <w:sz w:val="25"/>
          <w:szCs w:val="25"/>
        </w:rPr>
        <w:t>και</w:t>
      </w:r>
      <w:r w:rsidR="000C0579" w:rsidRPr="000C0579">
        <w:rPr>
          <w:rFonts w:ascii="Times New Roman" w:hAnsi="Times New Roman" w:cs="Times New Roman"/>
          <w:sz w:val="25"/>
          <w:szCs w:val="25"/>
        </w:rPr>
        <w:t xml:space="preserve"> στο </w:t>
      </w:r>
      <w:r w:rsidR="000C0579" w:rsidRPr="0048388F">
        <w:rPr>
          <w:rFonts w:ascii="Times New Roman" w:hAnsi="Times New Roman" w:cs="Times New Roman"/>
          <w:b/>
          <w:sz w:val="25"/>
          <w:szCs w:val="25"/>
        </w:rPr>
        <w:t>2,9%</w:t>
      </w:r>
      <w:r w:rsidR="000C0579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7A0911" w:rsidRPr="000C0579">
        <w:rPr>
          <w:rFonts w:ascii="Times New Roman" w:hAnsi="Times New Roman" w:cs="Times New Roman"/>
          <w:sz w:val="25"/>
          <w:szCs w:val="25"/>
        </w:rPr>
        <w:t>χωρίς αυτά</w:t>
      </w:r>
      <w:r w:rsidRPr="000C0579">
        <w:rPr>
          <w:rFonts w:ascii="Times New Roman" w:hAnsi="Times New Roman" w:cs="Times New Roman"/>
          <w:sz w:val="25"/>
          <w:szCs w:val="25"/>
        </w:rPr>
        <w:t>.</w:t>
      </w:r>
      <w:r w:rsidR="00184826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D6734B" w:rsidRPr="000C0579">
        <w:rPr>
          <w:rFonts w:ascii="Times New Roman" w:hAnsi="Times New Roman" w:cs="Times New Roman"/>
          <w:sz w:val="25"/>
          <w:szCs w:val="25"/>
        </w:rPr>
        <w:t xml:space="preserve">Η ίδια τάση με </w:t>
      </w:r>
      <w:r w:rsidR="000C0579" w:rsidRPr="000C0579">
        <w:rPr>
          <w:rFonts w:ascii="Times New Roman" w:hAnsi="Times New Roman" w:cs="Times New Roman"/>
          <w:sz w:val="25"/>
          <w:szCs w:val="25"/>
        </w:rPr>
        <w:t xml:space="preserve">σχεδόν την ίδια </w:t>
      </w:r>
      <w:r w:rsidR="00D6734B" w:rsidRPr="000C0579">
        <w:rPr>
          <w:rFonts w:ascii="Times New Roman" w:hAnsi="Times New Roman" w:cs="Times New Roman"/>
          <w:sz w:val="25"/>
          <w:szCs w:val="25"/>
        </w:rPr>
        <w:t>ένταση καταγράφεται και για τον</w:t>
      </w:r>
      <w:r w:rsidR="00D6734B" w:rsidRPr="000C0579">
        <w:rPr>
          <w:rFonts w:ascii="Times New Roman" w:hAnsi="Times New Roman" w:cs="Times New Roman"/>
          <w:b/>
          <w:sz w:val="25"/>
          <w:szCs w:val="25"/>
        </w:rPr>
        <w:t xml:space="preserve"> όγκο πωλήσεων</w:t>
      </w:r>
      <w:r w:rsidR="00D6734B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184826" w:rsidRPr="000C0579">
        <w:rPr>
          <w:rFonts w:ascii="Times New Roman" w:hAnsi="Times New Roman" w:cs="Times New Roman"/>
          <w:sz w:val="25"/>
          <w:szCs w:val="25"/>
        </w:rPr>
        <w:t>στο Λιανικό εμπόριο (</w:t>
      </w:r>
      <w:r w:rsidR="000C0579" w:rsidRPr="000C0579">
        <w:rPr>
          <w:rFonts w:ascii="Times New Roman" w:hAnsi="Times New Roman" w:cs="Times New Roman"/>
          <w:sz w:val="25"/>
          <w:szCs w:val="25"/>
        </w:rPr>
        <w:t>Ιανουάριος 2020</w:t>
      </w:r>
      <w:r w:rsidR="00184826" w:rsidRPr="000C0579">
        <w:rPr>
          <w:rFonts w:ascii="Times New Roman" w:hAnsi="Times New Roman" w:cs="Times New Roman"/>
          <w:sz w:val="25"/>
          <w:szCs w:val="25"/>
        </w:rPr>
        <w:t>/</w:t>
      </w:r>
      <w:r w:rsidR="000C0579" w:rsidRPr="000C0579">
        <w:rPr>
          <w:rFonts w:ascii="Times New Roman" w:hAnsi="Times New Roman" w:cs="Times New Roman"/>
          <w:sz w:val="25"/>
          <w:szCs w:val="25"/>
        </w:rPr>
        <w:t>Δεκέμβριος</w:t>
      </w:r>
      <w:r w:rsidR="00184826" w:rsidRPr="000C0579">
        <w:rPr>
          <w:rFonts w:ascii="Times New Roman" w:hAnsi="Times New Roman" w:cs="Times New Roman"/>
          <w:sz w:val="25"/>
          <w:szCs w:val="25"/>
        </w:rPr>
        <w:t xml:space="preserve"> 2019) </w:t>
      </w:r>
      <w:r w:rsidR="00D6734B" w:rsidRPr="000C0579">
        <w:rPr>
          <w:rFonts w:ascii="Times New Roman" w:hAnsi="Times New Roman" w:cs="Times New Roman"/>
          <w:sz w:val="25"/>
          <w:szCs w:val="25"/>
        </w:rPr>
        <w:t xml:space="preserve">τόσο με τα καύσιμα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(+3,3%)</w:t>
      </w:r>
      <w:r w:rsidR="000C0579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D6734B" w:rsidRPr="000C0579">
        <w:rPr>
          <w:rFonts w:ascii="Times New Roman" w:hAnsi="Times New Roman" w:cs="Times New Roman"/>
          <w:sz w:val="25"/>
          <w:szCs w:val="25"/>
        </w:rPr>
        <w:t>όσο και χωρίς αυτά</w:t>
      </w:r>
      <w:r w:rsidR="00184826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D6734B" w:rsidRPr="000C0579">
        <w:rPr>
          <w:rFonts w:ascii="Times New Roman" w:hAnsi="Times New Roman" w:cs="Times New Roman"/>
          <w:b/>
          <w:sz w:val="25"/>
          <w:szCs w:val="25"/>
        </w:rPr>
        <w:t>(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+2</w:t>
      </w:r>
      <w:r w:rsidR="00D6734B" w:rsidRPr="000C0579">
        <w:rPr>
          <w:rFonts w:ascii="Times New Roman" w:hAnsi="Times New Roman" w:cs="Times New Roman"/>
          <w:b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8</w:t>
      </w:r>
      <w:r w:rsidR="00D6734B" w:rsidRPr="000C0579">
        <w:rPr>
          <w:rFonts w:ascii="Times New Roman" w:hAnsi="Times New Roman" w:cs="Times New Roman"/>
          <w:b/>
          <w:sz w:val="25"/>
          <w:szCs w:val="25"/>
        </w:rPr>
        <w:t>%).</w:t>
      </w:r>
    </w:p>
    <w:p w:rsidR="00B80015" w:rsidRPr="00130B6C" w:rsidRDefault="00130B6C" w:rsidP="002165A9">
      <w:pPr>
        <w:pStyle w:val="Default"/>
        <w:shd w:val="clear" w:color="auto" w:fill="B8CCE4" w:themeFill="accent1" w:themeFillTint="66"/>
        <w:spacing w:after="120" w:line="276" w:lineRule="auto"/>
        <w:ind w:left="-35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05313">
        <w:rPr>
          <w:rFonts w:ascii="Times New Roman" w:hAnsi="Times New Roman" w:cs="Times New Roman"/>
          <w:i/>
          <w:sz w:val="22"/>
          <w:szCs w:val="22"/>
          <w:u w:val="single"/>
        </w:rPr>
        <w:t>Σημείωση:</w:t>
      </w:r>
      <w:r w:rsidRPr="001053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244D0" w:rsidRPr="00105313">
        <w:rPr>
          <w:rFonts w:ascii="Times New Roman" w:hAnsi="Times New Roman" w:cs="Times New Roman"/>
          <w:i/>
          <w:sz w:val="22"/>
          <w:szCs w:val="22"/>
        </w:rPr>
        <w:t xml:space="preserve">Για τη διεξαγωγή ασφαλέστερων συμπερασμάτων ενδείκνυται για </w:t>
      </w:r>
      <w:r w:rsidR="002244D0" w:rsidRPr="00105313">
        <w:rPr>
          <w:rFonts w:ascii="Times New Roman" w:hAnsi="Times New Roman" w:cs="Times New Roman"/>
          <w:b/>
          <w:i/>
          <w:sz w:val="22"/>
          <w:szCs w:val="22"/>
        </w:rPr>
        <w:t>ετήσιες συγκρίσεις</w:t>
      </w:r>
      <w:r w:rsidR="002244D0" w:rsidRPr="00105313">
        <w:rPr>
          <w:rFonts w:ascii="Times New Roman" w:hAnsi="Times New Roman" w:cs="Times New Roman"/>
          <w:i/>
          <w:sz w:val="22"/>
          <w:szCs w:val="22"/>
        </w:rPr>
        <w:t xml:space="preserve"> (μεταξύ διαφορετικών ετών) να χρησιμοποιούνται τα στοιχεία του Γενικού ΔΚΕ &amp; ΔΟ, ενώ για τις αντίστοιχες </w:t>
      </w:r>
      <w:r w:rsidR="002244D0" w:rsidRPr="00105313">
        <w:rPr>
          <w:rFonts w:ascii="Times New Roman" w:hAnsi="Times New Roman" w:cs="Times New Roman"/>
          <w:b/>
          <w:i/>
          <w:sz w:val="22"/>
          <w:szCs w:val="22"/>
        </w:rPr>
        <w:t>μηνιαίες</w:t>
      </w:r>
      <w:r w:rsidR="002244D0" w:rsidRPr="00105313">
        <w:rPr>
          <w:rFonts w:ascii="Times New Roman" w:hAnsi="Times New Roman" w:cs="Times New Roman"/>
          <w:i/>
          <w:sz w:val="22"/>
          <w:szCs w:val="22"/>
        </w:rPr>
        <w:t xml:space="preserve"> τα δεδομένα του εποχικά διορθωμένου ΔΚΕ &amp; ΔΟ.</w:t>
      </w:r>
      <w:r w:rsidR="00B80015" w:rsidRPr="00130B6C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A60969" w:rsidRPr="001A1F5A" w:rsidRDefault="00A60969" w:rsidP="00A60969">
      <w:pPr>
        <w:pStyle w:val="Default"/>
        <w:ind w:left="-360" w:right="180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A60969" w:rsidRPr="005C064C" w:rsidRDefault="000C7AD6" w:rsidP="00A60969">
      <w:pPr>
        <w:pStyle w:val="Default"/>
        <w:ind w:left="-360" w:right="18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C064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  </w:t>
      </w:r>
      <w:r w:rsidR="00A60969" w:rsidRPr="005C064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ΔΕΙΚΤΗΣ ΚΥΚΛΟΥ ΕΡΓΑΣΙΩΝ ΣΤΟ ΛΙΑΝΙΚΟ ΕΜΠΟΡΙΟ: </w:t>
      </w:r>
    </w:p>
    <w:p w:rsidR="00697C01" w:rsidRDefault="00697C01" w:rsidP="00697C01">
      <w:pPr>
        <w:pStyle w:val="Default"/>
        <w:ind w:left="-360" w:right="180"/>
        <w:rPr>
          <w:b/>
          <w:sz w:val="25"/>
          <w:szCs w:val="25"/>
          <w:u w:val="single"/>
        </w:rPr>
      </w:pPr>
    </w:p>
    <w:p w:rsidR="008D1945" w:rsidRPr="00BB628F" w:rsidRDefault="000C7AD6" w:rsidP="00837246">
      <w:pPr>
        <w:pStyle w:val="Default"/>
        <w:ind w:left="-360" w:right="180"/>
        <w:rPr>
          <w:b/>
          <w:sz w:val="25"/>
          <w:szCs w:val="25"/>
          <w:u w:val="single"/>
        </w:rPr>
      </w:pPr>
      <w:r w:rsidRPr="00BB628F">
        <w:rPr>
          <w:b/>
          <w:sz w:val="25"/>
          <w:szCs w:val="25"/>
          <w:u w:val="single"/>
        </w:rPr>
        <w:t>Α</w:t>
      </w:r>
      <w:r w:rsidR="00697C01" w:rsidRPr="00BB628F">
        <w:rPr>
          <w:b/>
          <w:sz w:val="25"/>
          <w:szCs w:val="25"/>
          <w:u w:val="single"/>
        </w:rPr>
        <w:t xml:space="preserve">.  Εποχικά διορθωμένος </w:t>
      </w:r>
      <w:r w:rsidR="000E7BD3" w:rsidRPr="00BB628F">
        <w:rPr>
          <w:b/>
          <w:sz w:val="25"/>
          <w:szCs w:val="25"/>
          <w:u w:val="single"/>
        </w:rPr>
        <w:t xml:space="preserve"> </w:t>
      </w:r>
      <w:r w:rsidR="00697C01" w:rsidRPr="00BB628F">
        <w:rPr>
          <w:b/>
          <w:sz w:val="25"/>
          <w:szCs w:val="25"/>
          <w:u w:val="single"/>
        </w:rPr>
        <w:t>ΔΚΕ</w:t>
      </w:r>
      <w:r w:rsidR="005C064C" w:rsidRPr="00BB628F">
        <w:rPr>
          <w:b/>
          <w:sz w:val="25"/>
          <w:szCs w:val="25"/>
          <w:u w:val="single"/>
        </w:rPr>
        <w:t xml:space="preserve"> </w:t>
      </w:r>
      <w:r w:rsidR="005C064C" w:rsidRPr="00BB628F">
        <w:rPr>
          <w:i/>
          <w:sz w:val="25"/>
          <w:szCs w:val="25"/>
          <w:u w:val="single"/>
        </w:rPr>
        <w:t>(για μηνιαίες συγκρίσεις)</w:t>
      </w:r>
    </w:p>
    <w:p w:rsidR="00697C01" w:rsidRPr="00BB628F" w:rsidRDefault="00697C01" w:rsidP="00A60969">
      <w:pPr>
        <w:pStyle w:val="Default"/>
        <w:ind w:left="-360" w:right="180"/>
        <w:jc w:val="center"/>
        <w:rPr>
          <w:sz w:val="25"/>
          <w:szCs w:val="25"/>
        </w:rPr>
      </w:pPr>
    </w:p>
    <w:p w:rsidR="00A60969" w:rsidRDefault="00A60969" w:rsidP="00BF2749">
      <w:pPr>
        <w:pStyle w:val="Default"/>
        <w:spacing w:after="120" w:line="276" w:lineRule="auto"/>
        <w:ind w:left="-176" w:hanging="18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B1ED4">
        <w:rPr>
          <w:rFonts w:ascii="Times New Roman" w:hAnsi="Times New Roman" w:cs="Times New Roman"/>
          <w:sz w:val="25"/>
          <w:szCs w:val="25"/>
        </w:rPr>
        <w:t xml:space="preserve">• Η </w:t>
      </w:r>
      <w:r w:rsidRPr="007B1ED4">
        <w:rPr>
          <w:rFonts w:ascii="Times New Roman" w:hAnsi="Times New Roman" w:cs="Times New Roman"/>
          <w:b/>
          <w:bCs/>
          <w:sz w:val="25"/>
          <w:szCs w:val="25"/>
        </w:rPr>
        <w:t xml:space="preserve">μηνιαία μεταβολή </w:t>
      </w:r>
      <w:r w:rsidRPr="007B1ED4">
        <w:rPr>
          <w:rFonts w:ascii="Times New Roman" w:hAnsi="Times New Roman" w:cs="Times New Roman"/>
          <w:sz w:val="25"/>
          <w:szCs w:val="25"/>
        </w:rPr>
        <w:t xml:space="preserve">αυτών των δεικτών έχει ως εξής: Ο εποχικά διορθωμένος Δείκτης Κύκλου Εργασιών στο Λιανικό Εμπόριο του μηνός </w:t>
      </w:r>
      <w:r w:rsidR="00956048">
        <w:rPr>
          <w:rFonts w:ascii="Times New Roman" w:hAnsi="Times New Roman" w:cs="Times New Roman"/>
          <w:b/>
          <w:sz w:val="25"/>
          <w:szCs w:val="25"/>
        </w:rPr>
        <w:t>Ιανουαρίου</w:t>
      </w:r>
      <w:r w:rsidR="00844E25" w:rsidRPr="007B1ED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B1ED4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95604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Pr="007B1ED4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Pr="007B1ED4">
        <w:rPr>
          <w:rFonts w:ascii="Times New Roman" w:hAnsi="Times New Roman" w:cs="Times New Roman"/>
          <w:sz w:val="25"/>
          <w:szCs w:val="25"/>
        </w:rPr>
        <w:t xml:space="preserve">σε σύγκριση με </w:t>
      </w:r>
      <w:r w:rsidR="008D1945" w:rsidRPr="007B1ED4">
        <w:rPr>
          <w:rFonts w:ascii="Times New Roman" w:hAnsi="Times New Roman" w:cs="Times New Roman"/>
          <w:sz w:val="25"/>
          <w:szCs w:val="25"/>
        </w:rPr>
        <w:t>το</w:t>
      </w:r>
      <w:r w:rsidR="00607017" w:rsidRPr="007B1ED4">
        <w:rPr>
          <w:rFonts w:ascii="Times New Roman" w:hAnsi="Times New Roman" w:cs="Times New Roman"/>
          <w:sz w:val="25"/>
          <w:szCs w:val="25"/>
        </w:rPr>
        <w:t>ν</w:t>
      </w:r>
      <w:r w:rsidR="00D8175F" w:rsidRPr="007B1ED4">
        <w:rPr>
          <w:rFonts w:ascii="Times New Roman" w:hAnsi="Times New Roman" w:cs="Times New Roman"/>
          <w:sz w:val="25"/>
          <w:szCs w:val="25"/>
        </w:rPr>
        <w:t xml:space="preserve"> </w:t>
      </w:r>
      <w:r w:rsidR="00956048" w:rsidRPr="00956048">
        <w:rPr>
          <w:rFonts w:ascii="Times New Roman" w:hAnsi="Times New Roman" w:cs="Times New Roman"/>
          <w:b/>
          <w:sz w:val="25"/>
          <w:szCs w:val="25"/>
        </w:rPr>
        <w:t>Δεκέμβριο</w:t>
      </w:r>
      <w:r w:rsidR="002430E8" w:rsidRPr="00956048">
        <w:rPr>
          <w:rFonts w:ascii="Times New Roman" w:hAnsi="Times New Roman" w:cs="Times New Roman"/>
          <w:b/>
          <w:sz w:val="25"/>
          <w:szCs w:val="25"/>
        </w:rPr>
        <w:t xml:space="preserve"> του 201</w:t>
      </w:r>
      <w:r w:rsidR="00505F0F" w:rsidRPr="00956048">
        <w:rPr>
          <w:rFonts w:ascii="Times New Roman" w:hAnsi="Times New Roman" w:cs="Times New Roman"/>
          <w:b/>
          <w:sz w:val="25"/>
          <w:szCs w:val="25"/>
        </w:rPr>
        <w:t>9</w:t>
      </w:r>
      <w:r w:rsidRPr="007B1ED4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Pr="007B1ED4">
        <w:rPr>
          <w:rFonts w:ascii="Times New Roman" w:hAnsi="Times New Roman" w:cs="Times New Roman"/>
          <w:sz w:val="25"/>
          <w:szCs w:val="25"/>
        </w:rPr>
        <w:t xml:space="preserve">παρουσίασε: </w:t>
      </w:r>
      <w:r w:rsidR="000C0579">
        <w:rPr>
          <w:rFonts w:ascii="Times New Roman" w:hAnsi="Times New Roman" w:cs="Times New Roman"/>
          <w:sz w:val="25"/>
          <w:szCs w:val="25"/>
        </w:rPr>
        <w:t>Μ</w:t>
      </w:r>
      <w:r w:rsidR="005351BD" w:rsidRPr="007B1ED4">
        <w:rPr>
          <w:rFonts w:ascii="Times New Roman" w:hAnsi="Times New Roman" w:cs="Times New Roman"/>
          <w:sz w:val="25"/>
          <w:szCs w:val="25"/>
        </w:rPr>
        <w:t xml:space="preserve">ε τα καύσιμα </w:t>
      </w:r>
      <w:r w:rsidR="000C0579" w:rsidRPr="002B3D7C">
        <w:rPr>
          <w:rFonts w:ascii="Times New Roman" w:hAnsi="Times New Roman" w:cs="Times New Roman"/>
          <w:b/>
          <w:sz w:val="25"/>
          <w:szCs w:val="25"/>
        </w:rPr>
        <w:t>αύξηση 3,4%</w:t>
      </w:r>
      <w:r w:rsidR="000C0579">
        <w:rPr>
          <w:rFonts w:ascii="Times New Roman" w:hAnsi="Times New Roman" w:cs="Times New Roman"/>
          <w:sz w:val="25"/>
          <w:szCs w:val="25"/>
        </w:rPr>
        <w:t xml:space="preserve"> και </w:t>
      </w:r>
      <w:r w:rsidR="005351BD" w:rsidRPr="007B1ED4">
        <w:rPr>
          <w:rFonts w:ascii="Times New Roman" w:hAnsi="Times New Roman" w:cs="Times New Roman"/>
          <w:sz w:val="25"/>
          <w:szCs w:val="25"/>
        </w:rPr>
        <w:t xml:space="preserve"> χωρίς αυτά</w:t>
      </w:r>
      <w:r w:rsidRPr="007B1ED4">
        <w:rPr>
          <w:rFonts w:ascii="Times New Roman" w:hAnsi="Times New Roman" w:cs="Times New Roman"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bCs/>
          <w:sz w:val="25"/>
          <w:szCs w:val="25"/>
        </w:rPr>
        <w:t>άνοδο κατά 2</w:t>
      </w:r>
      <w:r w:rsidR="005351BD" w:rsidRPr="000C0579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5351BD" w:rsidRPr="000C0579">
        <w:rPr>
          <w:rFonts w:ascii="Times New Roman" w:hAnsi="Times New Roman" w:cs="Times New Roman"/>
          <w:b/>
          <w:bCs/>
          <w:sz w:val="25"/>
          <w:szCs w:val="25"/>
        </w:rPr>
        <w:t>%</w:t>
      </w:r>
      <w:r w:rsidR="005351BD" w:rsidRPr="000C0579">
        <w:rPr>
          <w:rFonts w:ascii="Times New Roman" w:hAnsi="Times New Roman" w:cs="Times New Roman"/>
          <w:b/>
          <w:sz w:val="25"/>
          <w:szCs w:val="25"/>
        </w:rPr>
        <w:t>.</w:t>
      </w:r>
    </w:p>
    <w:p w:rsidR="00956048" w:rsidRDefault="00956048" w:rsidP="00BF2749">
      <w:pPr>
        <w:pStyle w:val="Default"/>
        <w:spacing w:after="120" w:line="276" w:lineRule="auto"/>
        <w:ind w:left="-176" w:hanging="181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56048" w:rsidRDefault="00956048" w:rsidP="00BF2749">
      <w:pPr>
        <w:pStyle w:val="Default"/>
        <w:spacing w:after="120" w:line="276" w:lineRule="auto"/>
        <w:ind w:left="-176" w:hanging="181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697C01" w:rsidRDefault="00697C01" w:rsidP="00A60969">
      <w:pPr>
        <w:pStyle w:val="Default"/>
        <w:ind w:left="-180" w:hanging="180"/>
        <w:jc w:val="both"/>
        <w:rPr>
          <w:rFonts w:ascii="Times New Roman" w:hAnsi="Times New Roman" w:cs="Times New Roman"/>
          <w:sz w:val="25"/>
          <w:szCs w:val="25"/>
        </w:rPr>
      </w:pPr>
    </w:p>
    <w:p w:rsidR="00697C01" w:rsidRPr="00697C01" w:rsidRDefault="000C7AD6" w:rsidP="00E446E0">
      <w:pPr>
        <w:pStyle w:val="Default"/>
        <w:shd w:val="clear" w:color="auto" w:fill="D9D9D9" w:themeFill="background1" w:themeFillShade="D9"/>
        <w:ind w:left="-360" w:right="-341"/>
        <w:rPr>
          <w:b/>
          <w:sz w:val="25"/>
          <w:szCs w:val="25"/>
          <w:u w:val="single"/>
        </w:rPr>
      </w:pPr>
      <w:r w:rsidRPr="000C7AD6">
        <w:rPr>
          <w:b/>
          <w:sz w:val="25"/>
          <w:szCs w:val="25"/>
          <w:u w:val="single"/>
        </w:rPr>
        <w:t>Β</w:t>
      </w:r>
      <w:r w:rsidR="00697C01" w:rsidRPr="000C7AD6">
        <w:rPr>
          <w:b/>
          <w:sz w:val="25"/>
          <w:szCs w:val="25"/>
          <w:u w:val="single"/>
        </w:rPr>
        <w:t>.  Γενικός ΔΚΕ</w:t>
      </w:r>
      <w:r w:rsidR="005C064C">
        <w:rPr>
          <w:b/>
          <w:sz w:val="25"/>
          <w:szCs w:val="25"/>
          <w:u w:val="single"/>
        </w:rPr>
        <w:t xml:space="preserve"> </w:t>
      </w:r>
      <w:r w:rsidR="005C064C" w:rsidRPr="005C064C">
        <w:rPr>
          <w:i/>
          <w:sz w:val="25"/>
          <w:szCs w:val="25"/>
          <w:u w:val="single"/>
        </w:rPr>
        <w:t>(για ετήσιες</w:t>
      </w:r>
      <w:r w:rsidR="00CF29E9">
        <w:rPr>
          <w:i/>
          <w:sz w:val="25"/>
          <w:szCs w:val="25"/>
          <w:u w:val="single"/>
        </w:rPr>
        <w:t xml:space="preserve"> συγκρίσεις</w:t>
      </w:r>
      <w:r w:rsidR="005C064C" w:rsidRPr="005C064C">
        <w:rPr>
          <w:i/>
          <w:sz w:val="25"/>
          <w:szCs w:val="25"/>
          <w:u w:val="single"/>
        </w:rPr>
        <w:t>)</w:t>
      </w:r>
    </w:p>
    <w:p w:rsidR="003924B1" w:rsidRPr="001800CC" w:rsidRDefault="003924B1" w:rsidP="00BF2749">
      <w:pPr>
        <w:pStyle w:val="Default"/>
        <w:spacing w:after="120" w:line="276" w:lineRule="auto"/>
        <w:ind w:left="-176" w:hanging="181"/>
        <w:jc w:val="both"/>
        <w:rPr>
          <w:rFonts w:ascii="Times New Roman" w:hAnsi="Times New Roman" w:cs="Times New Roman"/>
          <w:sz w:val="25"/>
          <w:szCs w:val="25"/>
        </w:rPr>
      </w:pPr>
      <w:r w:rsidRPr="000C0579">
        <w:rPr>
          <w:sz w:val="25"/>
          <w:szCs w:val="25"/>
        </w:rPr>
        <w:t xml:space="preserve">• </w:t>
      </w:r>
      <w:r w:rsidRPr="000C0579">
        <w:rPr>
          <w:rFonts w:ascii="Times New Roman" w:hAnsi="Times New Roman" w:cs="Times New Roman"/>
          <w:sz w:val="25"/>
          <w:szCs w:val="25"/>
        </w:rPr>
        <w:t xml:space="preserve">Ο Γενικός Δείκτης Κύκλου Εργασιών στο Λιανικό Εμπόριο του μηνός </w:t>
      </w:r>
      <w:r w:rsidR="00956048" w:rsidRPr="000C0579">
        <w:rPr>
          <w:rFonts w:ascii="Times New Roman" w:hAnsi="Times New Roman" w:cs="Times New Roman"/>
          <w:b/>
          <w:sz w:val="25"/>
          <w:szCs w:val="25"/>
        </w:rPr>
        <w:t>Ιανουαρίου</w:t>
      </w:r>
      <w:r w:rsidR="00956048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2020</w:t>
      </w:r>
      <w:r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Pr="000C0579">
        <w:rPr>
          <w:rFonts w:ascii="Times New Roman" w:hAnsi="Times New Roman" w:cs="Times New Roman"/>
          <w:sz w:val="25"/>
          <w:szCs w:val="25"/>
        </w:rPr>
        <w:t>(</w:t>
      </w:r>
      <w:r w:rsidRPr="000C0579">
        <w:rPr>
          <w:rFonts w:ascii="Times New Roman" w:hAnsi="Times New Roman" w:cs="Times New Roman"/>
          <w:b/>
          <w:bCs/>
          <w:sz w:val="25"/>
          <w:szCs w:val="25"/>
        </w:rPr>
        <w:t>χωρίς τα καύσιμα</w:t>
      </w:r>
      <w:r w:rsidRPr="000C0579">
        <w:rPr>
          <w:rFonts w:ascii="Times New Roman" w:hAnsi="Times New Roman" w:cs="Times New Roman"/>
          <w:sz w:val="25"/>
          <w:szCs w:val="25"/>
        </w:rPr>
        <w:t xml:space="preserve">), σε σύγκριση με τον αντίστοιχο του </w:t>
      </w:r>
      <w:r w:rsidR="00956048" w:rsidRPr="000C0579">
        <w:rPr>
          <w:rFonts w:ascii="Times New Roman" w:hAnsi="Times New Roman" w:cs="Times New Roman"/>
          <w:b/>
          <w:sz w:val="25"/>
          <w:szCs w:val="25"/>
        </w:rPr>
        <w:t>Ιανουαρίου</w:t>
      </w:r>
      <w:r w:rsidR="005351BD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C0579">
        <w:rPr>
          <w:rFonts w:ascii="Times New Roman" w:hAnsi="Times New Roman" w:cs="Times New Roman"/>
          <w:b/>
          <w:bCs/>
          <w:sz w:val="25"/>
          <w:szCs w:val="25"/>
        </w:rPr>
        <w:t>201</w:t>
      </w:r>
      <w:r w:rsidR="00956048" w:rsidRPr="000C0579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Pr="000C0579">
        <w:rPr>
          <w:rFonts w:ascii="Times New Roman" w:hAnsi="Times New Roman" w:cs="Times New Roman"/>
          <w:sz w:val="25"/>
          <w:szCs w:val="25"/>
        </w:rPr>
        <w:t xml:space="preserve">εμφάνισε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άνοδο</w:t>
      </w:r>
      <w:r w:rsidR="009F35A5" w:rsidRPr="000C05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8388F">
        <w:rPr>
          <w:rFonts w:ascii="Times New Roman" w:hAnsi="Times New Roman" w:cs="Times New Roman"/>
          <w:b/>
          <w:sz w:val="25"/>
          <w:szCs w:val="25"/>
        </w:rPr>
        <w:t>8,9</w:t>
      </w:r>
      <w:r w:rsidRPr="000C0579">
        <w:rPr>
          <w:rFonts w:ascii="Times New Roman" w:hAnsi="Times New Roman" w:cs="Times New Roman"/>
          <w:b/>
          <w:sz w:val="25"/>
          <w:szCs w:val="25"/>
        </w:rPr>
        <w:t>%</w:t>
      </w:r>
      <w:r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0C0579">
        <w:rPr>
          <w:rFonts w:ascii="Times New Roman" w:hAnsi="Times New Roman" w:cs="Times New Roman"/>
          <w:sz w:val="25"/>
          <w:szCs w:val="25"/>
        </w:rPr>
        <w:t xml:space="preserve">έναντι </w:t>
      </w:r>
      <w:r w:rsidR="005351BD" w:rsidRPr="000C0579">
        <w:rPr>
          <w:rFonts w:ascii="Times New Roman" w:hAnsi="Times New Roman" w:cs="Times New Roman"/>
          <w:b/>
          <w:sz w:val="25"/>
          <w:szCs w:val="25"/>
        </w:rPr>
        <w:t>υποχώρησης</w:t>
      </w:r>
      <w:r w:rsidR="00E57164" w:rsidRPr="000C05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2</w:t>
      </w:r>
      <w:r w:rsidR="00D53B88" w:rsidRPr="000C0579">
        <w:rPr>
          <w:rFonts w:ascii="Times New Roman" w:hAnsi="Times New Roman" w:cs="Times New Roman"/>
          <w:b/>
          <w:sz w:val="25"/>
          <w:szCs w:val="25"/>
        </w:rPr>
        <w:t>,</w:t>
      </w:r>
      <w:r w:rsidR="0048388F">
        <w:rPr>
          <w:rFonts w:ascii="Times New Roman" w:hAnsi="Times New Roman" w:cs="Times New Roman"/>
          <w:b/>
          <w:sz w:val="25"/>
          <w:szCs w:val="25"/>
        </w:rPr>
        <w:t>3</w:t>
      </w:r>
      <w:r w:rsidRPr="000C0579">
        <w:rPr>
          <w:rFonts w:ascii="Times New Roman" w:hAnsi="Times New Roman" w:cs="Times New Roman"/>
          <w:b/>
          <w:sz w:val="25"/>
          <w:szCs w:val="25"/>
        </w:rPr>
        <w:t>%</w:t>
      </w:r>
      <w:r w:rsidRPr="000C0579">
        <w:rPr>
          <w:rFonts w:ascii="Times New Roman" w:hAnsi="Times New Roman" w:cs="Times New Roman"/>
          <w:sz w:val="25"/>
          <w:szCs w:val="25"/>
        </w:rPr>
        <w:t xml:space="preserve"> που</w:t>
      </w:r>
      <w:r w:rsidRPr="000C057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C0579">
        <w:rPr>
          <w:rFonts w:ascii="Times New Roman" w:hAnsi="Times New Roman" w:cs="Times New Roman"/>
          <w:sz w:val="25"/>
          <w:szCs w:val="25"/>
        </w:rPr>
        <w:t>σημειώθηκε κατά την αντίστοιχη σύγκριση του έτους 201</w:t>
      </w:r>
      <w:r w:rsidR="00956048" w:rsidRPr="000C0579">
        <w:rPr>
          <w:rFonts w:ascii="Times New Roman" w:hAnsi="Times New Roman" w:cs="Times New Roman"/>
          <w:sz w:val="25"/>
          <w:szCs w:val="25"/>
        </w:rPr>
        <w:t>9</w:t>
      </w:r>
      <w:r w:rsidRPr="000C0579">
        <w:rPr>
          <w:rFonts w:ascii="Times New Roman" w:hAnsi="Times New Roman" w:cs="Times New Roman"/>
          <w:sz w:val="25"/>
          <w:szCs w:val="25"/>
        </w:rPr>
        <w:t xml:space="preserve"> προς το 201</w:t>
      </w:r>
      <w:r w:rsidR="00956048" w:rsidRPr="000C0579">
        <w:rPr>
          <w:rFonts w:ascii="Times New Roman" w:hAnsi="Times New Roman" w:cs="Times New Roman"/>
          <w:sz w:val="25"/>
          <w:szCs w:val="25"/>
        </w:rPr>
        <w:t>8</w:t>
      </w:r>
      <w:r w:rsidRPr="000C0579">
        <w:rPr>
          <w:rFonts w:ascii="Times New Roman" w:hAnsi="Times New Roman" w:cs="Times New Roman"/>
          <w:sz w:val="25"/>
          <w:szCs w:val="25"/>
        </w:rPr>
        <w:t>.</w:t>
      </w:r>
      <w:r w:rsidRPr="001800C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725DB" w:rsidRPr="001800CC" w:rsidRDefault="00D608E8" w:rsidP="00062DCF">
      <w:pPr>
        <w:pStyle w:val="Default"/>
        <w:spacing w:after="120" w:line="276" w:lineRule="auto"/>
        <w:ind w:left="-176" w:hanging="181"/>
        <w:jc w:val="both"/>
        <w:rPr>
          <w:rFonts w:ascii="Times New Roman" w:hAnsi="Times New Roman" w:cs="Times New Roman"/>
          <w:sz w:val="25"/>
          <w:szCs w:val="25"/>
        </w:rPr>
      </w:pPr>
      <w:r w:rsidRPr="000C0579">
        <w:rPr>
          <w:rFonts w:ascii="Times New Roman" w:hAnsi="Times New Roman" w:cs="Times New Roman"/>
          <w:sz w:val="25"/>
          <w:szCs w:val="25"/>
        </w:rPr>
        <w:t xml:space="preserve">• </w:t>
      </w:r>
      <w:r w:rsidR="003924B1" w:rsidRPr="000C0579">
        <w:rPr>
          <w:rFonts w:ascii="Times New Roman" w:hAnsi="Times New Roman" w:cs="Times New Roman"/>
          <w:sz w:val="25"/>
          <w:szCs w:val="25"/>
        </w:rPr>
        <w:t xml:space="preserve">Ο Γενικός Δείκτης Κύκλου Εργασιών στο Λιανικό Εμπόριο του μηνός </w:t>
      </w:r>
      <w:r w:rsidR="00956048" w:rsidRPr="000C0579">
        <w:rPr>
          <w:rFonts w:ascii="Times New Roman" w:hAnsi="Times New Roman" w:cs="Times New Roman"/>
          <w:b/>
          <w:sz w:val="25"/>
          <w:szCs w:val="25"/>
        </w:rPr>
        <w:t>Ιανουαρίου</w:t>
      </w:r>
      <w:r w:rsidR="00956048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2020</w:t>
      </w:r>
      <w:r w:rsidR="003924B1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4B1" w:rsidRPr="000C0579">
        <w:rPr>
          <w:rFonts w:ascii="Times New Roman" w:hAnsi="Times New Roman" w:cs="Times New Roman"/>
          <w:sz w:val="25"/>
          <w:szCs w:val="25"/>
        </w:rPr>
        <w:t>(</w:t>
      </w:r>
      <w:r w:rsidR="003924B1" w:rsidRPr="000C0579">
        <w:rPr>
          <w:rFonts w:ascii="Times New Roman" w:hAnsi="Times New Roman" w:cs="Times New Roman"/>
          <w:b/>
          <w:bCs/>
          <w:sz w:val="25"/>
          <w:szCs w:val="25"/>
        </w:rPr>
        <w:t>με τα καύσιμα</w:t>
      </w:r>
      <w:r w:rsidR="003924B1" w:rsidRPr="000C0579">
        <w:rPr>
          <w:rFonts w:ascii="Times New Roman" w:hAnsi="Times New Roman" w:cs="Times New Roman"/>
          <w:sz w:val="25"/>
          <w:szCs w:val="25"/>
        </w:rPr>
        <w:t xml:space="preserve">) σε σύγκριση με τον αντίστοιχο Δείκτη του </w:t>
      </w:r>
      <w:r w:rsidR="00956048" w:rsidRPr="000C0579">
        <w:rPr>
          <w:rFonts w:ascii="Times New Roman" w:hAnsi="Times New Roman" w:cs="Times New Roman"/>
          <w:b/>
          <w:sz w:val="25"/>
          <w:szCs w:val="25"/>
        </w:rPr>
        <w:t>Ιανουαρίου</w:t>
      </w:r>
      <w:r w:rsidR="00956048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2019</w:t>
      </w:r>
      <w:r w:rsidR="003924B1" w:rsidRPr="000C0579">
        <w:rPr>
          <w:rFonts w:ascii="Times New Roman" w:hAnsi="Times New Roman" w:cs="Times New Roman"/>
          <w:sz w:val="25"/>
          <w:szCs w:val="25"/>
        </w:rPr>
        <w:t xml:space="preserve">, παρουσίασε </w:t>
      </w:r>
      <w:r w:rsidR="000C0579" w:rsidRPr="000C0579">
        <w:rPr>
          <w:rFonts w:ascii="Times New Roman" w:hAnsi="Times New Roman" w:cs="Times New Roman"/>
          <w:b/>
          <w:sz w:val="25"/>
          <w:szCs w:val="25"/>
        </w:rPr>
        <w:t>σημαντική</w:t>
      </w:r>
      <w:r w:rsidR="004F1E88"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48388F">
        <w:rPr>
          <w:rFonts w:ascii="Times New Roman" w:hAnsi="Times New Roman" w:cs="Times New Roman"/>
          <w:b/>
          <w:sz w:val="25"/>
          <w:szCs w:val="25"/>
        </w:rPr>
        <w:t>ενίσχυση</w:t>
      </w:r>
      <w:r w:rsidRPr="000C0579">
        <w:rPr>
          <w:rFonts w:ascii="Times New Roman" w:hAnsi="Times New Roman" w:cs="Times New Roman"/>
          <w:sz w:val="25"/>
          <w:szCs w:val="25"/>
        </w:rPr>
        <w:t xml:space="preserve"> </w:t>
      </w:r>
      <w:r w:rsidR="0048388F">
        <w:rPr>
          <w:rFonts w:ascii="Times New Roman" w:hAnsi="Times New Roman" w:cs="Times New Roman"/>
          <w:b/>
          <w:sz w:val="25"/>
          <w:szCs w:val="25"/>
        </w:rPr>
        <w:t>10</w:t>
      </w:r>
      <w:r w:rsidRPr="000C0579">
        <w:rPr>
          <w:rFonts w:ascii="Times New Roman" w:hAnsi="Times New Roman" w:cs="Times New Roman"/>
          <w:b/>
          <w:sz w:val="25"/>
          <w:szCs w:val="25"/>
        </w:rPr>
        <w:t>,</w:t>
      </w:r>
      <w:r w:rsidR="0048388F">
        <w:rPr>
          <w:rFonts w:ascii="Times New Roman" w:hAnsi="Times New Roman" w:cs="Times New Roman"/>
          <w:b/>
          <w:sz w:val="25"/>
          <w:szCs w:val="25"/>
        </w:rPr>
        <w:t>1</w:t>
      </w:r>
      <w:r w:rsidR="003924B1" w:rsidRPr="000C0579">
        <w:rPr>
          <w:rFonts w:ascii="Times New Roman" w:hAnsi="Times New Roman" w:cs="Times New Roman"/>
          <w:b/>
          <w:sz w:val="25"/>
          <w:szCs w:val="25"/>
        </w:rPr>
        <w:t>%,</w:t>
      </w:r>
      <w:r w:rsidR="003924B1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4B1" w:rsidRPr="000C0579">
        <w:rPr>
          <w:rFonts w:ascii="Times New Roman" w:hAnsi="Times New Roman" w:cs="Times New Roman"/>
          <w:sz w:val="25"/>
          <w:szCs w:val="25"/>
        </w:rPr>
        <w:t xml:space="preserve">έναντι </w:t>
      </w:r>
      <w:r w:rsidR="0048388F">
        <w:rPr>
          <w:rFonts w:ascii="Times New Roman" w:hAnsi="Times New Roman" w:cs="Times New Roman"/>
          <w:b/>
          <w:sz w:val="25"/>
          <w:szCs w:val="25"/>
        </w:rPr>
        <w:t>πτώσης</w:t>
      </w:r>
      <w:r w:rsidR="003924B1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3924B1" w:rsidRPr="000C0579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48388F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3924B1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% </w:t>
      </w:r>
      <w:r w:rsidR="003924B1" w:rsidRPr="000C0579">
        <w:rPr>
          <w:rFonts w:ascii="Times New Roman" w:hAnsi="Times New Roman" w:cs="Times New Roman"/>
          <w:sz w:val="25"/>
          <w:szCs w:val="25"/>
        </w:rPr>
        <w:t>που σημειώθηκε κατά την αντίστοιχη σύγκριση του έτους 201</w:t>
      </w:r>
      <w:r w:rsidR="00956048" w:rsidRPr="000C0579">
        <w:rPr>
          <w:rFonts w:ascii="Times New Roman" w:hAnsi="Times New Roman" w:cs="Times New Roman"/>
          <w:sz w:val="25"/>
          <w:szCs w:val="25"/>
        </w:rPr>
        <w:t>9</w:t>
      </w:r>
      <w:r w:rsidR="003924B1" w:rsidRPr="000C0579">
        <w:rPr>
          <w:rFonts w:ascii="Times New Roman" w:hAnsi="Times New Roman" w:cs="Times New Roman"/>
          <w:sz w:val="25"/>
          <w:szCs w:val="25"/>
        </w:rPr>
        <w:t xml:space="preserve"> προς το 201</w:t>
      </w:r>
      <w:r w:rsidR="00956048" w:rsidRPr="000C0579">
        <w:rPr>
          <w:rFonts w:ascii="Times New Roman" w:hAnsi="Times New Roman" w:cs="Times New Roman"/>
          <w:sz w:val="25"/>
          <w:szCs w:val="25"/>
        </w:rPr>
        <w:t>8</w:t>
      </w:r>
      <w:r w:rsidR="003924B1" w:rsidRPr="000C0579">
        <w:rPr>
          <w:rFonts w:ascii="Times New Roman" w:hAnsi="Times New Roman" w:cs="Times New Roman"/>
          <w:sz w:val="25"/>
          <w:szCs w:val="25"/>
        </w:rPr>
        <w:t>.</w:t>
      </w:r>
      <w:r w:rsidR="003924B1" w:rsidRPr="001800C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60969" w:rsidRPr="005C064C" w:rsidRDefault="000C7AD6" w:rsidP="00A60969">
      <w:pPr>
        <w:pStyle w:val="Default"/>
        <w:ind w:left="-360" w:right="18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C064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2.  </w:t>
      </w:r>
      <w:r w:rsidR="00A60969" w:rsidRPr="005C064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ΔΕΙΚΤΗΣ ΟΓΚΟΥ ΣΤΟ ΛΙΑΝΙΚΟ ΕΜΠΟΡΙΟ: </w:t>
      </w:r>
    </w:p>
    <w:p w:rsidR="003924B1" w:rsidRDefault="003924B1" w:rsidP="00A60969">
      <w:pPr>
        <w:pStyle w:val="Default"/>
        <w:ind w:left="-360" w:right="180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3924B1" w:rsidRPr="00697C01" w:rsidRDefault="000C7AD6" w:rsidP="003924B1">
      <w:pPr>
        <w:pStyle w:val="Default"/>
        <w:shd w:val="clear" w:color="auto" w:fill="D9D9D9" w:themeFill="background1" w:themeFillShade="D9"/>
        <w:ind w:left="-360" w:right="180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Α</w:t>
      </w:r>
      <w:r w:rsidR="003924B1" w:rsidRPr="00697C01">
        <w:rPr>
          <w:b/>
          <w:sz w:val="25"/>
          <w:szCs w:val="25"/>
          <w:u w:val="single"/>
        </w:rPr>
        <w:t>.  Εποχικά διορθωμένος Δ</w:t>
      </w:r>
      <w:r w:rsidR="003924B1">
        <w:rPr>
          <w:b/>
          <w:sz w:val="25"/>
          <w:szCs w:val="25"/>
          <w:u w:val="single"/>
        </w:rPr>
        <w:t>Ο</w:t>
      </w:r>
      <w:r w:rsidR="005C064C">
        <w:rPr>
          <w:b/>
          <w:sz w:val="25"/>
          <w:szCs w:val="25"/>
          <w:u w:val="single"/>
        </w:rPr>
        <w:t xml:space="preserve"> </w:t>
      </w:r>
      <w:r w:rsidR="005C064C" w:rsidRPr="005C064C">
        <w:rPr>
          <w:i/>
          <w:sz w:val="25"/>
          <w:szCs w:val="25"/>
          <w:u w:val="single"/>
        </w:rPr>
        <w:t>(για μηνιαίες συγκρίσεις)</w:t>
      </w:r>
    </w:p>
    <w:p w:rsidR="003924B1" w:rsidRPr="00A60969" w:rsidRDefault="003924B1" w:rsidP="00A60969">
      <w:pPr>
        <w:pStyle w:val="Default"/>
        <w:ind w:left="-360" w:right="180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A60969" w:rsidRPr="005351BD" w:rsidRDefault="00A60969" w:rsidP="00062DCF">
      <w:pPr>
        <w:autoSpaceDE w:val="0"/>
        <w:autoSpaceDN w:val="0"/>
        <w:adjustRightInd w:val="0"/>
        <w:spacing w:after="120"/>
        <w:ind w:left="-176" w:hanging="18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• Η 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μηνιαία μεταβολή 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των δεικτών έχει ως εξής: Ο εποχικά διορθωμένος Δείκτης Όγκου στο Λιανικό Εμπόριο του μηνός </w:t>
      </w:r>
      <w:r w:rsidR="00956048" w:rsidRPr="000C0579">
        <w:rPr>
          <w:rFonts w:ascii="Times New Roman" w:hAnsi="Times New Roman" w:cs="Times New Roman"/>
          <w:b/>
          <w:sz w:val="25"/>
          <w:szCs w:val="25"/>
        </w:rPr>
        <w:t>Ιανουαρίου</w:t>
      </w:r>
      <w:r w:rsidR="00956048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2020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σε σύγκριση με </w:t>
      </w:r>
      <w:r w:rsidR="006068E3" w:rsidRPr="000C0579">
        <w:rPr>
          <w:rFonts w:ascii="Times New Roman" w:hAnsi="Times New Roman" w:cs="Times New Roman"/>
          <w:color w:val="000000"/>
          <w:sz w:val="25"/>
          <w:szCs w:val="25"/>
        </w:rPr>
        <w:t>εκείνον του</w:t>
      </w:r>
      <w:r w:rsidR="00884B2E"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956048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Δεκεμβρίου</w:t>
      </w:r>
      <w:r w:rsidR="00884B2E" w:rsidRPr="000C057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0C057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του </w:t>
      </w:r>
      <w:r w:rsidR="00092DE4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201</w:t>
      </w:r>
      <w:r w:rsidR="00505F0F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9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r w:rsidR="006068E3"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παρουσίασε </w:t>
      </w:r>
      <w:r w:rsidR="005351BD"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με τα καύσιμα </w:t>
      </w:r>
      <w:r w:rsidR="000C0579" w:rsidRPr="002B3D7C">
        <w:rPr>
          <w:rFonts w:ascii="Times New Roman" w:hAnsi="Times New Roman" w:cs="Times New Roman"/>
          <w:b/>
          <w:color w:val="000000"/>
          <w:sz w:val="25"/>
          <w:szCs w:val="25"/>
        </w:rPr>
        <w:t>βελτίωση 3,3%</w:t>
      </w:r>
      <w:r w:rsidR="000C0579"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351BD"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και χωρίς αυτά </w:t>
      </w:r>
      <w:r w:rsidR="000C057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άνοδο</w:t>
      </w:r>
      <w:r w:rsidR="005351BD" w:rsidRPr="000C057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κατά </w:t>
      </w:r>
      <w:r w:rsidR="00B526B8" w:rsidRPr="000C057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2</w:t>
      </w:r>
      <w:r w:rsidR="005351BD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8</w:t>
      </w:r>
      <w:r w:rsidR="00B526B8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%</w:t>
      </w:r>
      <w:r w:rsidR="005351BD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.</w:t>
      </w:r>
    </w:p>
    <w:p w:rsidR="003924B1" w:rsidRPr="00884B2E" w:rsidRDefault="003924B1" w:rsidP="00A60969">
      <w:pPr>
        <w:autoSpaceDE w:val="0"/>
        <w:autoSpaceDN w:val="0"/>
        <w:adjustRightInd w:val="0"/>
        <w:spacing w:after="0" w:line="240" w:lineRule="auto"/>
        <w:ind w:left="-180" w:hanging="18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highlight w:val="yellow"/>
        </w:rPr>
      </w:pPr>
    </w:p>
    <w:p w:rsidR="003924B1" w:rsidRPr="00697C01" w:rsidRDefault="000C7AD6" w:rsidP="00E446E0">
      <w:pPr>
        <w:pStyle w:val="Default"/>
        <w:shd w:val="clear" w:color="auto" w:fill="D9D9D9" w:themeFill="background1" w:themeFillShade="D9"/>
        <w:tabs>
          <w:tab w:val="left" w:pos="8647"/>
        </w:tabs>
        <w:ind w:left="-360" w:right="-341"/>
        <w:rPr>
          <w:b/>
          <w:sz w:val="25"/>
          <w:szCs w:val="25"/>
          <w:u w:val="single"/>
        </w:rPr>
      </w:pPr>
      <w:r w:rsidRPr="000C7AD6">
        <w:rPr>
          <w:b/>
          <w:sz w:val="25"/>
          <w:szCs w:val="25"/>
          <w:u w:val="single"/>
        </w:rPr>
        <w:t>Β</w:t>
      </w:r>
      <w:r w:rsidR="003924B1" w:rsidRPr="000C7AD6">
        <w:rPr>
          <w:b/>
          <w:sz w:val="25"/>
          <w:szCs w:val="25"/>
          <w:u w:val="single"/>
        </w:rPr>
        <w:t>.  Γενικός  ΔΟ</w:t>
      </w:r>
      <w:r w:rsidR="005C064C">
        <w:rPr>
          <w:b/>
          <w:sz w:val="25"/>
          <w:szCs w:val="25"/>
          <w:u w:val="single"/>
        </w:rPr>
        <w:t xml:space="preserve"> </w:t>
      </w:r>
      <w:r w:rsidR="00CF29E9">
        <w:rPr>
          <w:i/>
          <w:sz w:val="25"/>
          <w:szCs w:val="25"/>
          <w:u w:val="single"/>
        </w:rPr>
        <w:t>(για ετήσιες συγκρίσεις</w:t>
      </w:r>
      <w:r w:rsidR="005C064C" w:rsidRPr="005C064C">
        <w:rPr>
          <w:i/>
          <w:sz w:val="25"/>
          <w:szCs w:val="25"/>
          <w:u w:val="single"/>
        </w:rPr>
        <w:t>)</w:t>
      </w:r>
    </w:p>
    <w:p w:rsidR="003924B1" w:rsidRPr="00A60969" w:rsidRDefault="003924B1" w:rsidP="00A60969">
      <w:pPr>
        <w:autoSpaceDE w:val="0"/>
        <w:autoSpaceDN w:val="0"/>
        <w:adjustRightInd w:val="0"/>
        <w:spacing w:after="0" w:line="240" w:lineRule="auto"/>
        <w:ind w:left="-180" w:hanging="18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3924B1" w:rsidRPr="001800CC" w:rsidRDefault="003924B1" w:rsidP="00062DCF">
      <w:pPr>
        <w:autoSpaceDE w:val="0"/>
        <w:autoSpaceDN w:val="0"/>
        <w:adjustRightInd w:val="0"/>
        <w:spacing w:after="120"/>
        <w:ind w:left="-180" w:hanging="18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• Ο Γενικός Δείκτης Όγκου στο Λιανικό Εμπόριο </w:t>
      </w:r>
      <w:r w:rsidRPr="000C0579">
        <w:rPr>
          <w:rFonts w:ascii="Times New Roman" w:hAnsi="Times New Roman" w:cs="Times New Roman"/>
          <w:sz w:val="25"/>
          <w:szCs w:val="25"/>
        </w:rPr>
        <w:t xml:space="preserve">του μηνός </w:t>
      </w:r>
      <w:r w:rsidR="00956048" w:rsidRPr="000C0579">
        <w:rPr>
          <w:rFonts w:ascii="Times New Roman" w:hAnsi="Times New Roman" w:cs="Times New Roman"/>
          <w:b/>
          <w:sz w:val="25"/>
          <w:szCs w:val="25"/>
        </w:rPr>
        <w:t>Ιανουαρίου</w:t>
      </w:r>
      <w:r w:rsidR="00956048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2020</w:t>
      </w:r>
      <w:r w:rsidR="00956048"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>(χωρίς τα καύσιμα)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, σε σύγκριση με τον αντίστοιχο Δείκτη του </w:t>
      </w:r>
      <w:r w:rsidR="00956048" w:rsidRPr="000C0579">
        <w:rPr>
          <w:rFonts w:ascii="Times New Roman" w:hAnsi="Times New Roman" w:cs="Times New Roman"/>
          <w:b/>
          <w:sz w:val="25"/>
          <w:szCs w:val="25"/>
        </w:rPr>
        <w:t>Ιανουαρίου</w:t>
      </w:r>
      <w:r w:rsidR="00956048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2019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, εμφάνισε </w:t>
      </w:r>
      <w:r w:rsidR="000C057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αύξηση</w:t>
      </w:r>
      <w:r w:rsidR="008D3C7C" w:rsidRPr="000C057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48388F">
        <w:rPr>
          <w:rFonts w:ascii="Times New Roman" w:hAnsi="Times New Roman" w:cs="Times New Roman"/>
          <w:b/>
          <w:color w:val="000000"/>
          <w:sz w:val="25"/>
          <w:szCs w:val="25"/>
        </w:rPr>
        <w:t>7</w:t>
      </w:r>
      <w:r w:rsidR="008D3C7C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,</w:t>
      </w:r>
      <w:r w:rsidR="0048388F">
        <w:rPr>
          <w:rFonts w:ascii="Times New Roman" w:hAnsi="Times New Roman" w:cs="Times New Roman"/>
          <w:b/>
          <w:color w:val="000000"/>
          <w:sz w:val="25"/>
          <w:szCs w:val="25"/>
        </w:rPr>
        <w:t>9</w:t>
      </w:r>
      <w:r w:rsidR="008D3C7C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%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έναντι </w:t>
      </w:r>
      <w:r w:rsidR="003B0C1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υποχώρησης</w:t>
      </w:r>
      <w:r w:rsidR="003B0C19"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 κατά</w:t>
      </w:r>
      <w:r w:rsidR="00363BB4"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3</w:t>
      </w:r>
      <w:r w:rsidR="00D53B88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5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% 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>που σημειώθηκε κατά την αντίστοιχη σύγκριση του έτους 201</w:t>
      </w:r>
      <w:r w:rsidR="00956048" w:rsidRPr="000C0579"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 προς το 201</w:t>
      </w:r>
      <w:r w:rsidR="00956048" w:rsidRPr="000C0579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1800C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3924B1" w:rsidRDefault="003924B1" w:rsidP="00062DCF">
      <w:pPr>
        <w:autoSpaceDE w:val="0"/>
        <w:autoSpaceDN w:val="0"/>
        <w:adjustRightInd w:val="0"/>
        <w:spacing w:after="120"/>
        <w:ind w:left="-180" w:hanging="18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0C0579">
        <w:rPr>
          <w:rFonts w:ascii="Times New Roman" w:hAnsi="Times New Roman" w:cs="Times New Roman"/>
          <w:color w:val="000000"/>
          <w:sz w:val="25"/>
          <w:szCs w:val="25"/>
        </w:rPr>
        <w:t>• Συμπεριλαμβανομένων των καυσίμων ο Γενικός Δείκτης Όγκου στο Λιανικό Εμπόριο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του μηνός </w:t>
      </w:r>
      <w:r w:rsidR="00956048" w:rsidRPr="000C0579">
        <w:rPr>
          <w:rFonts w:ascii="Times New Roman" w:hAnsi="Times New Roman" w:cs="Times New Roman"/>
          <w:b/>
          <w:sz w:val="25"/>
          <w:szCs w:val="25"/>
        </w:rPr>
        <w:t>Ιανουαρίου</w:t>
      </w:r>
      <w:r w:rsidR="00956048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2020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, σε σύγκριση με τον αντίστοιχο Δείκτη του </w:t>
      </w:r>
      <w:r w:rsidR="00956048" w:rsidRPr="000C0579">
        <w:rPr>
          <w:rFonts w:ascii="Times New Roman" w:hAnsi="Times New Roman" w:cs="Times New Roman"/>
          <w:b/>
          <w:sz w:val="25"/>
          <w:szCs w:val="25"/>
        </w:rPr>
        <w:t>Ιανουαρίου</w:t>
      </w:r>
      <w:r w:rsidR="00956048" w:rsidRPr="000C0579">
        <w:rPr>
          <w:rFonts w:ascii="Times New Roman" w:hAnsi="Times New Roman" w:cs="Times New Roman"/>
          <w:b/>
          <w:bCs/>
          <w:sz w:val="25"/>
          <w:szCs w:val="25"/>
        </w:rPr>
        <w:t xml:space="preserve"> 2019</w:t>
      </w:r>
      <w:r w:rsidR="00956048"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r w:rsidR="004E7DE2"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αυξήθηκε</w:t>
      </w:r>
      <w:r w:rsidR="00D40741" w:rsidRPr="000C057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7E00D3" w:rsidRPr="000C0579">
        <w:rPr>
          <w:rFonts w:ascii="Times New Roman" w:hAnsi="Times New Roman" w:cs="Times New Roman"/>
          <w:color w:val="000000"/>
          <w:sz w:val="25"/>
          <w:szCs w:val="25"/>
        </w:rPr>
        <w:t>κατά</w:t>
      </w:r>
      <w:r w:rsidR="007E00D3" w:rsidRPr="000C0579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8</w:t>
      </w:r>
      <w:r w:rsidRPr="000C0579">
        <w:rPr>
          <w:rFonts w:ascii="Times New Roman" w:hAnsi="Times New Roman" w:cs="Times New Roman"/>
          <w:b/>
          <w:color w:val="000000"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4</w:t>
      </w:r>
      <w:r w:rsidRPr="000C0579">
        <w:rPr>
          <w:rFonts w:ascii="Times New Roman" w:hAnsi="Times New Roman" w:cs="Times New Roman"/>
          <w:b/>
          <w:color w:val="000000"/>
          <w:sz w:val="25"/>
          <w:szCs w:val="25"/>
        </w:rPr>
        <w:t>%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έναντι </w:t>
      </w:r>
      <w:r w:rsidR="003B0C19" w:rsidRPr="000C0579">
        <w:rPr>
          <w:rFonts w:ascii="Times New Roman" w:hAnsi="Times New Roman" w:cs="Times New Roman"/>
          <w:b/>
          <w:color w:val="000000"/>
          <w:sz w:val="25"/>
          <w:szCs w:val="25"/>
        </w:rPr>
        <w:t>πτώσης</w:t>
      </w:r>
      <w:r w:rsidR="008F669E"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0C0579"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>3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>,</w:t>
      </w:r>
      <w:r w:rsidR="000C0579"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>2</w:t>
      </w:r>
      <w:r w:rsidRPr="000C05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% 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>που σημειώθηκε κατά την αντίστοιχη σύγκριση του έτους 201</w:t>
      </w:r>
      <w:r w:rsidR="00956048" w:rsidRPr="000C0579">
        <w:rPr>
          <w:rFonts w:ascii="Times New Roman" w:hAnsi="Times New Roman" w:cs="Times New Roman"/>
          <w:color w:val="000000"/>
          <w:sz w:val="25"/>
          <w:szCs w:val="25"/>
        </w:rPr>
        <w:t>9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 xml:space="preserve"> προς το 201</w:t>
      </w:r>
      <w:r w:rsidR="00956048" w:rsidRPr="000C0579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Pr="000C0579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8E051E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:rsidR="00956048" w:rsidRPr="008E051E" w:rsidRDefault="00956048" w:rsidP="00062DCF">
      <w:pPr>
        <w:autoSpaceDE w:val="0"/>
        <w:autoSpaceDN w:val="0"/>
        <w:adjustRightInd w:val="0"/>
        <w:spacing w:after="120"/>
        <w:ind w:left="-180" w:hanging="18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Style w:val="a8"/>
        <w:tblW w:w="6380" w:type="dxa"/>
        <w:tblInd w:w="675" w:type="dxa"/>
        <w:tblLayout w:type="fixed"/>
        <w:tblLook w:val="04A0"/>
      </w:tblPr>
      <w:tblGrid>
        <w:gridCol w:w="2530"/>
        <w:gridCol w:w="1865"/>
        <w:gridCol w:w="1985"/>
      </w:tblGrid>
      <w:tr w:rsidR="00956048" w:rsidTr="00956048">
        <w:trPr>
          <w:trHeight w:val="1170"/>
        </w:trPr>
        <w:tc>
          <w:tcPr>
            <w:tcW w:w="2530" w:type="dxa"/>
            <w:vMerge w:val="restart"/>
            <w:shd w:val="clear" w:color="auto" w:fill="BFBFBF" w:themeFill="background1" w:themeFillShade="BF"/>
            <w:vAlign w:val="center"/>
          </w:tcPr>
          <w:p w:rsidR="00956048" w:rsidRPr="00336754" w:rsidRDefault="00956048" w:rsidP="0050134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6754">
              <w:rPr>
                <w:rFonts w:ascii="Times New Roman" w:hAnsi="Times New Roman" w:cs="Times New Roman"/>
                <w:b/>
                <w:sz w:val="25"/>
                <w:szCs w:val="25"/>
              </w:rPr>
              <w:t>ΑΝΑΛΥΣΗ ΑΝΑ ΥΠΟΚΑΤΗΓΟΡΙΑ ΛΙΑΝΙΚΟΥ ΕΜΠΟΡΙΟΥ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48" w:rsidRDefault="00956048" w:rsidP="00B9340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 xml:space="preserve">ΜΕΤΑΒΟΛΗ </w:t>
            </w:r>
          </w:p>
          <w:p w:rsidR="00956048" w:rsidRDefault="00956048" w:rsidP="00B9340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 xml:space="preserve"> </w:t>
            </w: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cyan"/>
                <w:lang w:eastAsia="el-GR"/>
              </w:rPr>
              <w:t xml:space="preserve">ΓΕΝΙΚΟΥ </w:t>
            </w:r>
          </w:p>
          <w:p w:rsidR="00956048" w:rsidRDefault="00956048" w:rsidP="00956048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 xml:space="preserve">ΚΕ </w:t>
            </w:r>
          </w:p>
          <w:p w:rsidR="00956048" w:rsidRPr="00D80693" w:rsidRDefault="00956048" w:rsidP="00956048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915C9F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l-GR"/>
              </w:rPr>
              <w:t>(ετήσιες μεταβολές)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6048" w:rsidRDefault="00956048" w:rsidP="00082B6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 xml:space="preserve">ΜΕΤΑΒΟΛΗ </w:t>
            </w:r>
          </w:p>
          <w:p w:rsidR="00956048" w:rsidRDefault="00956048" w:rsidP="00082B63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cyan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 xml:space="preserve"> </w:t>
            </w: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cyan"/>
                <w:lang w:eastAsia="el-GR"/>
              </w:rPr>
              <w:t>ΓΕΝΙΚΟΥ</w:t>
            </w:r>
          </w:p>
          <w:p w:rsidR="00956048" w:rsidRDefault="00956048" w:rsidP="00956048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Ο</w:t>
            </w:r>
          </w:p>
          <w:p w:rsidR="00956048" w:rsidRPr="00D80693" w:rsidRDefault="00956048" w:rsidP="00956048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915C9F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l-GR"/>
              </w:rPr>
              <w:t>(ετήσιες μεταβολές)</w:t>
            </w: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cyan"/>
                <w:lang w:eastAsia="el-GR"/>
              </w:rPr>
              <w:t xml:space="preserve"> </w:t>
            </w:r>
          </w:p>
        </w:tc>
      </w:tr>
      <w:tr w:rsidR="00956048" w:rsidTr="00956048">
        <w:trPr>
          <w:trHeight w:val="787"/>
        </w:trPr>
        <w:tc>
          <w:tcPr>
            <w:tcW w:w="2530" w:type="dxa"/>
            <w:vMerge/>
            <w:shd w:val="clear" w:color="auto" w:fill="BFBFBF" w:themeFill="background1" w:themeFillShade="BF"/>
          </w:tcPr>
          <w:p w:rsidR="00956048" w:rsidRDefault="00956048" w:rsidP="00D80693">
            <w:pPr>
              <w:pStyle w:val="Defaul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7B1ED4" w:rsidRDefault="00956048" w:rsidP="00501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Ιανουάριος</w:t>
            </w:r>
          </w:p>
          <w:p w:rsidR="00956048" w:rsidRPr="007B1ED4" w:rsidRDefault="00956048" w:rsidP="00956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7B1ED4" w:rsidRDefault="00956048" w:rsidP="000C05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Ιανουάριος</w:t>
            </w:r>
          </w:p>
          <w:p w:rsidR="00956048" w:rsidRPr="007B1ED4" w:rsidRDefault="00956048" w:rsidP="000C0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1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56048" w:rsidTr="00956048">
        <w:trPr>
          <w:trHeight w:val="273"/>
        </w:trPr>
        <w:tc>
          <w:tcPr>
            <w:tcW w:w="2530" w:type="dxa"/>
            <w:vAlign w:val="center"/>
          </w:tcPr>
          <w:p w:rsidR="00956048" w:rsidRPr="00AD24E6" w:rsidRDefault="00956048" w:rsidP="00D80693">
            <w:pPr>
              <w:ind w:right="180"/>
              <w:rPr>
                <w:rFonts w:ascii="Times New Roman" w:hAnsi="Times New Roman" w:cs="Times New Roman"/>
                <w:b/>
                <w:color w:val="000000"/>
              </w:rPr>
            </w:pPr>
            <w:r w:rsidRPr="00AD24E6">
              <w:rPr>
                <w:rFonts w:ascii="Times New Roman" w:hAnsi="Times New Roman" w:cs="Times New Roman"/>
                <w:b/>
                <w:color w:val="000000"/>
              </w:rPr>
              <w:t>Γενικός Δείκτης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956048" w:rsidP="002B3D7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388F">
              <w:rPr>
                <w:rFonts w:ascii="Times New Roman" w:hAnsi="Times New Roman" w:cs="Times New Roman"/>
                <w:b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  <w:b/>
              </w:rPr>
              <w:t>10</w:t>
            </w:r>
            <w:r w:rsidRPr="0048388F">
              <w:rPr>
                <w:rFonts w:ascii="Times New Roman" w:hAnsi="Times New Roman" w:cs="Times New Roman"/>
                <w:b/>
              </w:rPr>
              <w:t>,</w:t>
            </w:r>
            <w:r w:rsidR="002B3D7C" w:rsidRPr="0048388F">
              <w:rPr>
                <w:rFonts w:ascii="Times New Roman" w:hAnsi="Times New Roman" w:cs="Times New Roman"/>
                <w:b/>
              </w:rPr>
              <w:t>1</w:t>
            </w:r>
            <w:r w:rsidRPr="004838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956048" w:rsidP="002B3D7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388F">
              <w:rPr>
                <w:rFonts w:ascii="Times New Roman" w:hAnsi="Times New Roman" w:cs="Times New Roman"/>
                <w:b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  <w:b/>
              </w:rPr>
              <w:t>8</w:t>
            </w:r>
            <w:r w:rsidRPr="0048388F">
              <w:rPr>
                <w:rFonts w:ascii="Times New Roman" w:hAnsi="Times New Roman" w:cs="Times New Roman"/>
                <w:b/>
              </w:rPr>
              <w:t>,</w:t>
            </w:r>
            <w:r w:rsidR="002B3D7C" w:rsidRPr="0048388F">
              <w:rPr>
                <w:rFonts w:ascii="Times New Roman" w:hAnsi="Times New Roman" w:cs="Times New Roman"/>
                <w:b/>
              </w:rPr>
              <w:t>4</w:t>
            </w:r>
            <w:r w:rsidRPr="0048388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56048" w:rsidTr="00956048">
        <w:trPr>
          <w:trHeight w:val="698"/>
        </w:trPr>
        <w:tc>
          <w:tcPr>
            <w:tcW w:w="2530" w:type="dxa"/>
            <w:vAlign w:val="center"/>
          </w:tcPr>
          <w:p w:rsidR="00956048" w:rsidRDefault="00956048" w:rsidP="00D80693">
            <w:pPr>
              <w:ind w:right="180"/>
              <w:rPr>
                <w:rFonts w:ascii="Times New Roman" w:hAnsi="Times New Roman" w:cs="Times New Roman"/>
                <w:b/>
                <w:color w:val="000000"/>
              </w:rPr>
            </w:pPr>
            <w:r w:rsidRPr="00AD24E6">
              <w:rPr>
                <w:rFonts w:ascii="Times New Roman" w:hAnsi="Times New Roman" w:cs="Times New Roman"/>
                <w:b/>
                <w:color w:val="000000"/>
              </w:rPr>
              <w:t>Γενικός Δείκτης</w:t>
            </w:r>
          </w:p>
          <w:p w:rsidR="00956048" w:rsidRPr="00AD24E6" w:rsidRDefault="00956048" w:rsidP="00D80693">
            <w:pPr>
              <w:ind w:right="180"/>
              <w:rPr>
                <w:rFonts w:ascii="Times New Roman" w:hAnsi="Times New Roman" w:cs="Times New Roman"/>
                <w:b/>
                <w:color w:val="000000"/>
              </w:rPr>
            </w:pPr>
            <w:r w:rsidRPr="00AD24E6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(εκτός καυσίμων &amp; λιπαντικών)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388F">
              <w:rPr>
                <w:rFonts w:ascii="Times New Roman" w:hAnsi="Times New Roman" w:cs="Times New Roman"/>
                <w:b/>
              </w:rPr>
              <w:t>8</w:t>
            </w:r>
            <w:r w:rsidR="00956048" w:rsidRPr="0048388F">
              <w:rPr>
                <w:rFonts w:ascii="Times New Roman" w:hAnsi="Times New Roman" w:cs="Times New Roman"/>
                <w:b/>
              </w:rPr>
              <w:t>,</w:t>
            </w:r>
            <w:r w:rsidRPr="0048388F">
              <w:rPr>
                <w:rFonts w:ascii="Times New Roman" w:hAnsi="Times New Roman" w:cs="Times New Roman"/>
                <w:b/>
              </w:rPr>
              <w:t>9</w:t>
            </w:r>
            <w:r w:rsidR="00956048" w:rsidRPr="004838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956048" w:rsidP="002B3D7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388F">
              <w:rPr>
                <w:rFonts w:ascii="Times New Roman" w:hAnsi="Times New Roman" w:cs="Times New Roman"/>
                <w:b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  <w:b/>
              </w:rPr>
              <w:t>7</w:t>
            </w:r>
            <w:r w:rsidRPr="0048388F">
              <w:rPr>
                <w:rFonts w:ascii="Times New Roman" w:hAnsi="Times New Roman" w:cs="Times New Roman"/>
                <w:b/>
              </w:rPr>
              <w:t>,</w:t>
            </w:r>
            <w:r w:rsidR="002B3D7C" w:rsidRPr="0048388F">
              <w:rPr>
                <w:rFonts w:ascii="Times New Roman" w:hAnsi="Times New Roman" w:cs="Times New Roman"/>
                <w:b/>
              </w:rPr>
              <w:t>9</w:t>
            </w:r>
            <w:r w:rsidRPr="0048388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56048" w:rsidTr="00956048">
        <w:trPr>
          <w:trHeight w:val="571"/>
        </w:trPr>
        <w:tc>
          <w:tcPr>
            <w:tcW w:w="2530" w:type="dxa"/>
            <w:vAlign w:val="center"/>
          </w:tcPr>
          <w:p w:rsidR="00956048" w:rsidRPr="00256D5D" w:rsidRDefault="00956048" w:rsidP="00D8069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Μεγάλα καταστήματα τροφίμων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5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5</w:t>
            </w:r>
            <w:r w:rsidR="008005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956048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</w:rPr>
              <w:t>3</w:t>
            </w:r>
            <w:r w:rsidRPr="0048388F">
              <w:rPr>
                <w:rFonts w:ascii="Times New Roman" w:hAnsi="Times New Roman" w:cs="Times New Roman"/>
              </w:rPr>
              <w:t>,</w:t>
            </w:r>
            <w:r w:rsidR="002B3D7C" w:rsidRPr="0048388F">
              <w:rPr>
                <w:rFonts w:ascii="Times New Roman" w:hAnsi="Times New Roman" w:cs="Times New Roman"/>
              </w:rPr>
              <w:t>9</w:t>
            </w:r>
            <w:r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956048" w:rsidTr="00956048">
        <w:trPr>
          <w:trHeight w:val="341"/>
        </w:trPr>
        <w:tc>
          <w:tcPr>
            <w:tcW w:w="2530" w:type="dxa"/>
            <w:vAlign w:val="center"/>
          </w:tcPr>
          <w:p w:rsidR="00956048" w:rsidRPr="00256D5D" w:rsidRDefault="00956048" w:rsidP="00D80693">
            <w:pPr>
              <w:ind w:right="4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Πολυκαταστή</w:t>
            </w:r>
            <w:r>
              <w:rPr>
                <w:rFonts w:ascii="Times New Roman" w:hAnsi="Times New Roman" w:cs="Times New Roman"/>
                <w:color w:val="000000"/>
              </w:rPr>
              <w:t>ματα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956048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1,</w:t>
            </w:r>
            <w:r w:rsidR="002B3D7C" w:rsidRPr="0048388F">
              <w:rPr>
                <w:rFonts w:ascii="Times New Roman" w:hAnsi="Times New Roman" w:cs="Times New Roman"/>
              </w:rPr>
              <w:t>0</w:t>
            </w:r>
            <w:r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1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6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956048" w:rsidTr="00956048">
        <w:trPr>
          <w:trHeight w:val="406"/>
        </w:trPr>
        <w:tc>
          <w:tcPr>
            <w:tcW w:w="2530" w:type="dxa"/>
            <w:vAlign w:val="center"/>
          </w:tcPr>
          <w:p w:rsidR="00956048" w:rsidRPr="00256D5D" w:rsidRDefault="00956048" w:rsidP="00D8069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 xml:space="preserve">Καταστήματα καυσίμων και </w:t>
            </w:r>
            <w:r w:rsidRPr="00256D5D">
              <w:rPr>
                <w:rFonts w:ascii="Times New Roman" w:hAnsi="Times New Roman" w:cs="Times New Roman"/>
                <w:color w:val="000000"/>
              </w:rPr>
              <w:lastRenderedPageBreak/>
              <w:t>λιπαντικών αυτοκινήτων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lastRenderedPageBreak/>
              <w:t xml:space="preserve"> 15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7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7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0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956048" w:rsidTr="00956048">
        <w:trPr>
          <w:trHeight w:val="597"/>
        </w:trPr>
        <w:tc>
          <w:tcPr>
            <w:tcW w:w="2530" w:type="dxa"/>
            <w:vAlign w:val="center"/>
          </w:tcPr>
          <w:p w:rsidR="00956048" w:rsidRPr="00256D5D" w:rsidRDefault="00956048" w:rsidP="00D8069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lastRenderedPageBreak/>
              <w:t>Καταστήματα τροφίμων, ποτών και καπνού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4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0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2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5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956048" w:rsidTr="00956048">
        <w:trPr>
          <w:trHeight w:val="627"/>
        </w:trPr>
        <w:tc>
          <w:tcPr>
            <w:tcW w:w="2530" w:type="dxa"/>
            <w:vAlign w:val="center"/>
          </w:tcPr>
          <w:p w:rsidR="00956048" w:rsidRPr="00256D5D" w:rsidRDefault="00956048" w:rsidP="00D8069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 xml:space="preserve">Καταστήματα  φαρμακευτικών – καλλυντικών 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16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3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14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5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956048" w:rsidTr="00956048">
        <w:trPr>
          <w:trHeight w:val="610"/>
        </w:trPr>
        <w:tc>
          <w:tcPr>
            <w:tcW w:w="2530" w:type="dxa"/>
            <w:vAlign w:val="center"/>
          </w:tcPr>
          <w:p w:rsidR="00956048" w:rsidRPr="00256D5D" w:rsidRDefault="00956048" w:rsidP="00D8069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Καταστήματα  ένδυσης – υπόδησης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11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0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11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7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956048" w:rsidTr="00956048">
        <w:trPr>
          <w:trHeight w:val="845"/>
        </w:trPr>
        <w:tc>
          <w:tcPr>
            <w:tcW w:w="2530" w:type="dxa"/>
            <w:vAlign w:val="center"/>
          </w:tcPr>
          <w:p w:rsidR="00956048" w:rsidRPr="00256D5D" w:rsidRDefault="00956048" w:rsidP="00D8069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Καταστήματα επίπλων – ηλεκτρικών ειδών-οικιακού εξοπλισμού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17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5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956048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1</w:t>
            </w:r>
            <w:r w:rsidR="002B3D7C" w:rsidRPr="0048388F">
              <w:rPr>
                <w:rFonts w:ascii="Times New Roman" w:hAnsi="Times New Roman" w:cs="Times New Roman"/>
              </w:rPr>
              <w:t>9</w:t>
            </w:r>
            <w:r w:rsidRPr="0048388F">
              <w:rPr>
                <w:rFonts w:ascii="Times New Roman" w:hAnsi="Times New Roman" w:cs="Times New Roman"/>
              </w:rPr>
              <w:t>,</w:t>
            </w:r>
            <w:r w:rsidR="002B3D7C" w:rsidRPr="0048388F">
              <w:rPr>
                <w:rFonts w:ascii="Times New Roman" w:hAnsi="Times New Roman" w:cs="Times New Roman"/>
              </w:rPr>
              <w:t>5</w:t>
            </w:r>
            <w:r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956048" w:rsidTr="00956048">
        <w:trPr>
          <w:trHeight w:val="622"/>
        </w:trPr>
        <w:tc>
          <w:tcPr>
            <w:tcW w:w="2530" w:type="dxa"/>
            <w:vAlign w:val="center"/>
          </w:tcPr>
          <w:p w:rsidR="00956048" w:rsidRPr="00256D5D" w:rsidRDefault="00956048" w:rsidP="00D8069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Καταστήματα βιβλίων –χαρτικών και λοιπών ειδών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12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7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14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3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956048" w:rsidTr="00956048">
        <w:trPr>
          <w:trHeight w:val="476"/>
        </w:trPr>
        <w:tc>
          <w:tcPr>
            <w:tcW w:w="2530" w:type="dxa"/>
            <w:vAlign w:val="center"/>
          </w:tcPr>
          <w:p w:rsidR="00956048" w:rsidRPr="00256D5D" w:rsidRDefault="00956048" w:rsidP="00D80693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Πωλήσεις εκτός καταστημάτων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56048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24</w:t>
            </w:r>
            <w:r w:rsidR="00956048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4</w:t>
            </w:r>
            <w:r w:rsidR="00956048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048" w:rsidRPr="0048388F" w:rsidRDefault="00956048" w:rsidP="001C4AE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-</w:t>
            </w:r>
          </w:p>
        </w:tc>
      </w:tr>
    </w:tbl>
    <w:p w:rsidR="00D92AAD" w:rsidRDefault="00D92AAD" w:rsidP="00A60969">
      <w:pPr>
        <w:pStyle w:val="Default"/>
        <w:rPr>
          <w:rFonts w:ascii="Times New Roman" w:hAnsi="Times New Roman" w:cs="Times New Roman"/>
          <w:sz w:val="25"/>
          <w:szCs w:val="25"/>
        </w:rPr>
      </w:pPr>
    </w:p>
    <w:p w:rsidR="00336754" w:rsidRDefault="00336754" w:rsidP="00A60969">
      <w:pPr>
        <w:pStyle w:val="Default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8234" w:type="dxa"/>
        <w:tblInd w:w="-34" w:type="dxa"/>
        <w:tblLook w:val="04A0"/>
      </w:tblPr>
      <w:tblGrid>
        <w:gridCol w:w="3000"/>
        <w:gridCol w:w="2543"/>
        <w:gridCol w:w="2691"/>
      </w:tblGrid>
      <w:tr w:rsidR="00336754" w:rsidTr="00D407C5">
        <w:trPr>
          <w:trHeight w:val="676"/>
        </w:trPr>
        <w:tc>
          <w:tcPr>
            <w:tcW w:w="3000" w:type="dxa"/>
            <w:vMerge w:val="restart"/>
            <w:shd w:val="clear" w:color="auto" w:fill="BFBFBF" w:themeFill="background1" w:themeFillShade="BF"/>
            <w:vAlign w:val="center"/>
          </w:tcPr>
          <w:p w:rsidR="00336754" w:rsidRPr="00336754" w:rsidRDefault="00336754" w:rsidP="001C4AE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6754">
              <w:rPr>
                <w:rFonts w:ascii="Times New Roman" w:hAnsi="Times New Roman" w:cs="Times New Roman"/>
                <w:b/>
                <w:sz w:val="25"/>
                <w:szCs w:val="25"/>
              </w:rPr>
              <w:t>ΑΝΑΛΥΣΗ ΑΝΑ ΥΠΟΚΑΤΗΓΟΡΙΑ ΛΙΑΝΙΚΟΥ ΕΜΠΟΡΙΟΥ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754" w:rsidRDefault="00336754" w:rsidP="001C4AEE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 xml:space="preserve">ΜΕΤΑΒΟΛΗ </w:t>
            </w:r>
          </w:p>
          <w:p w:rsidR="00336754" w:rsidRPr="00D80693" w:rsidRDefault="00336754" w:rsidP="001C4AEE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 xml:space="preserve"> </w:t>
            </w:r>
            <w:r w:rsidRPr="00336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el-GR"/>
              </w:rPr>
              <w:t>ΕΠΟΧΙΚ</w:t>
            </w:r>
            <w:r w:rsidR="00E578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el-GR"/>
              </w:rPr>
              <w:t>Α</w:t>
            </w:r>
            <w:r w:rsidRPr="00336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el-GR"/>
              </w:rPr>
              <w:t xml:space="preserve"> ΔΙΟΡΘΩΜΕΝΟΥ</w:t>
            </w:r>
          </w:p>
          <w:p w:rsidR="00336754" w:rsidRDefault="00336754" w:rsidP="001C4AEE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ΔΚΕ</w:t>
            </w:r>
          </w:p>
          <w:p w:rsidR="00915C9F" w:rsidRPr="00D80693" w:rsidRDefault="00915C9F" w:rsidP="00915C9F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l-GR"/>
              </w:rPr>
            </w:pPr>
            <w:r w:rsidRPr="00915C9F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l-G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l-GR"/>
              </w:rPr>
              <w:t>μηνιαίες</w:t>
            </w:r>
            <w:r w:rsidRPr="00915C9F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l-GR"/>
              </w:rPr>
              <w:t xml:space="preserve"> μεταβολές)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754" w:rsidRDefault="00336754" w:rsidP="001C4AEE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 xml:space="preserve">ΜΕΤΑΒΟΛΗ </w:t>
            </w:r>
          </w:p>
          <w:p w:rsidR="00336754" w:rsidRPr="00D80693" w:rsidRDefault="00336754" w:rsidP="001C4AEE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 w:rsidRPr="00D806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 xml:space="preserve"> </w:t>
            </w:r>
            <w:r w:rsidRPr="00336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el-GR"/>
              </w:rPr>
              <w:t>ΕΠΟΧΙΚ</w:t>
            </w:r>
            <w:r w:rsidR="00E578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el-GR"/>
              </w:rPr>
              <w:t>Α</w:t>
            </w:r>
            <w:r w:rsidRPr="00336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  <w:lang w:eastAsia="el-GR"/>
              </w:rPr>
              <w:t xml:space="preserve"> ΔΙΟΡΘΩΜΕΝΟΥ</w:t>
            </w:r>
          </w:p>
          <w:p w:rsidR="00336754" w:rsidRDefault="00336754" w:rsidP="001C4AEE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l-GR"/>
              </w:rPr>
              <w:t>ΔΟ</w:t>
            </w:r>
          </w:p>
          <w:p w:rsidR="00915C9F" w:rsidRPr="00D80693" w:rsidRDefault="00915C9F" w:rsidP="001C4AEE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l-GR"/>
              </w:rPr>
            </w:pPr>
            <w:r w:rsidRPr="00915C9F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l-GR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l-GR"/>
              </w:rPr>
              <w:t>μηνιαίες</w:t>
            </w:r>
            <w:r w:rsidRPr="00915C9F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l-GR"/>
              </w:rPr>
              <w:t xml:space="preserve"> μεταβολές)</w:t>
            </w:r>
          </w:p>
        </w:tc>
      </w:tr>
      <w:tr w:rsidR="00956048" w:rsidTr="00D407C5">
        <w:trPr>
          <w:trHeight w:val="841"/>
        </w:trPr>
        <w:tc>
          <w:tcPr>
            <w:tcW w:w="3000" w:type="dxa"/>
            <w:vMerge/>
            <w:shd w:val="clear" w:color="auto" w:fill="BFBFBF" w:themeFill="background1" w:themeFillShade="BF"/>
          </w:tcPr>
          <w:p w:rsidR="00956048" w:rsidRDefault="00956048" w:rsidP="001C4AEE">
            <w:pPr>
              <w:pStyle w:val="Defaul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956048" w:rsidRPr="007B1ED4" w:rsidRDefault="00956048" w:rsidP="004E71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Ιανουάριος 2020</w:t>
            </w:r>
            <w:r w:rsidRPr="007B1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956048" w:rsidRPr="007B1ED4" w:rsidRDefault="00956048" w:rsidP="009560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Δεκέμβριος </w:t>
            </w:r>
            <w:r w:rsidRPr="007B1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956048" w:rsidRPr="007B1ED4" w:rsidRDefault="00956048" w:rsidP="000C05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1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Ιανουάριος 2020</w:t>
            </w:r>
            <w:r w:rsidRPr="007B1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956048" w:rsidRPr="007B1ED4" w:rsidRDefault="00956048" w:rsidP="000C05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Δεκέμβριος </w:t>
            </w:r>
            <w:r w:rsidRPr="007B1E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336754" w:rsidTr="00D407C5">
        <w:trPr>
          <w:trHeight w:val="438"/>
        </w:trPr>
        <w:tc>
          <w:tcPr>
            <w:tcW w:w="3000" w:type="dxa"/>
            <w:vAlign w:val="center"/>
          </w:tcPr>
          <w:p w:rsidR="00336754" w:rsidRPr="00AD24E6" w:rsidRDefault="00336754" w:rsidP="001C4AEE">
            <w:pPr>
              <w:ind w:right="180"/>
              <w:rPr>
                <w:rFonts w:ascii="Times New Roman" w:hAnsi="Times New Roman" w:cs="Times New Roman"/>
                <w:b/>
                <w:color w:val="000000"/>
              </w:rPr>
            </w:pPr>
            <w:r w:rsidRPr="00AD24E6">
              <w:rPr>
                <w:rFonts w:ascii="Times New Roman" w:hAnsi="Times New Roman" w:cs="Times New Roman"/>
                <w:b/>
                <w:color w:val="000000"/>
              </w:rPr>
              <w:t>Γενικός Δείκτης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388F">
              <w:rPr>
                <w:rFonts w:ascii="Times New Roman" w:hAnsi="Times New Roman" w:cs="Times New Roman"/>
                <w:b/>
              </w:rPr>
              <w:t>3</w:t>
            </w:r>
            <w:r w:rsidR="00A06A0D" w:rsidRPr="0048388F">
              <w:rPr>
                <w:rFonts w:ascii="Times New Roman" w:hAnsi="Times New Roman" w:cs="Times New Roman"/>
                <w:b/>
              </w:rPr>
              <w:t>,</w:t>
            </w:r>
            <w:r w:rsidRPr="0048388F">
              <w:rPr>
                <w:rFonts w:ascii="Times New Roman" w:hAnsi="Times New Roman" w:cs="Times New Roman"/>
                <w:b/>
              </w:rPr>
              <w:t>4</w:t>
            </w:r>
            <w:r w:rsidR="00A06A0D" w:rsidRPr="004838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657D26" w:rsidP="002B3D7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388F">
              <w:rPr>
                <w:rFonts w:ascii="Times New Roman" w:hAnsi="Times New Roman" w:cs="Times New Roman"/>
                <w:b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  <w:b/>
              </w:rPr>
              <w:t xml:space="preserve"> </w:t>
            </w:r>
            <w:r w:rsidR="006341F9" w:rsidRPr="0048388F">
              <w:rPr>
                <w:rFonts w:ascii="Times New Roman" w:hAnsi="Times New Roman" w:cs="Times New Roman"/>
                <w:b/>
              </w:rPr>
              <w:t>3</w:t>
            </w:r>
            <w:r w:rsidR="00A06A0D" w:rsidRPr="0048388F">
              <w:rPr>
                <w:rFonts w:ascii="Times New Roman" w:hAnsi="Times New Roman" w:cs="Times New Roman"/>
                <w:b/>
              </w:rPr>
              <w:t>,</w:t>
            </w:r>
            <w:r w:rsidR="002B3D7C" w:rsidRPr="0048388F">
              <w:rPr>
                <w:rFonts w:ascii="Times New Roman" w:hAnsi="Times New Roman" w:cs="Times New Roman"/>
                <w:b/>
              </w:rPr>
              <w:t>3</w:t>
            </w:r>
            <w:r w:rsidR="00A06A0D" w:rsidRPr="0048388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36754" w:rsidTr="00D407C5">
        <w:trPr>
          <w:trHeight w:val="550"/>
        </w:trPr>
        <w:tc>
          <w:tcPr>
            <w:tcW w:w="3000" w:type="dxa"/>
            <w:vAlign w:val="center"/>
          </w:tcPr>
          <w:p w:rsidR="00336754" w:rsidRDefault="00336754" w:rsidP="001C4AEE">
            <w:pPr>
              <w:ind w:right="180"/>
              <w:rPr>
                <w:rFonts w:ascii="Times New Roman" w:hAnsi="Times New Roman" w:cs="Times New Roman"/>
                <w:b/>
                <w:color w:val="000000"/>
              </w:rPr>
            </w:pPr>
            <w:r w:rsidRPr="00AD24E6">
              <w:rPr>
                <w:rFonts w:ascii="Times New Roman" w:hAnsi="Times New Roman" w:cs="Times New Roman"/>
                <w:b/>
                <w:color w:val="000000"/>
              </w:rPr>
              <w:t>Γενικός Δείκτης</w:t>
            </w:r>
          </w:p>
          <w:p w:rsidR="00336754" w:rsidRPr="00AD24E6" w:rsidRDefault="00336754" w:rsidP="001C4AEE">
            <w:pPr>
              <w:ind w:right="180"/>
              <w:rPr>
                <w:rFonts w:ascii="Times New Roman" w:hAnsi="Times New Roman" w:cs="Times New Roman"/>
                <w:b/>
                <w:color w:val="000000"/>
              </w:rPr>
            </w:pPr>
            <w:r w:rsidRPr="00AD24E6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(εκτός καυσίμων &amp; λιπαντικών)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388F">
              <w:rPr>
                <w:rFonts w:ascii="Times New Roman" w:hAnsi="Times New Roman" w:cs="Times New Roman"/>
                <w:b/>
              </w:rPr>
              <w:t>2</w:t>
            </w:r>
            <w:r w:rsidR="00877DA6" w:rsidRPr="0048388F">
              <w:rPr>
                <w:rFonts w:ascii="Times New Roman" w:hAnsi="Times New Roman" w:cs="Times New Roman"/>
                <w:b/>
              </w:rPr>
              <w:t>,</w:t>
            </w:r>
            <w:r w:rsidRPr="0048388F">
              <w:rPr>
                <w:rFonts w:ascii="Times New Roman" w:hAnsi="Times New Roman" w:cs="Times New Roman"/>
                <w:b/>
              </w:rPr>
              <w:t>9</w:t>
            </w:r>
            <w:r w:rsidR="00B1361D" w:rsidRPr="0048388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51328B" w:rsidP="002B3D7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8388F">
              <w:rPr>
                <w:rFonts w:ascii="Times New Roman" w:hAnsi="Times New Roman" w:cs="Times New Roman"/>
                <w:b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  <w:b/>
              </w:rPr>
              <w:t xml:space="preserve"> 2</w:t>
            </w:r>
            <w:r w:rsidR="00A06A0D" w:rsidRPr="0048388F">
              <w:rPr>
                <w:rFonts w:ascii="Times New Roman" w:hAnsi="Times New Roman" w:cs="Times New Roman"/>
                <w:b/>
              </w:rPr>
              <w:t>,</w:t>
            </w:r>
            <w:r w:rsidR="002B3D7C" w:rsidRPr="0048388F">
              <w:rPr>
                <w:rFonts w:ascii="Times New Roman" w:hAnsi="Times New Roman" w:cs="Times New Roman"/>
                <w:b/>
              </w:rPr>
              <w:t>8</w:t>
            </w:r>
            <w:r w:rsidR="006341F9" w:rsidRPr="0048388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36754" w:rsidTr="00D407C5">
        <w:trPr>
          <w:trHeight w:val="478"/>
        </w:trPr>
        <w:tc>
          <w:tcPr>
            <w:tcW w:w="3000" w:type="dxa"/>
            <w:vAlign w:val="center"/>
          </w:tcPr>
          <w:p w:rsidR="00336754" w:rsidRPr="00256D5D" w:rsidRDefault="00336754" w:rsidP="001C4AEE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Μεγάλα καταστήματα τροφίμων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2</w:t>
            </w:r>
            <w:r w:rsidR="00A06A0D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5</w:t>
            </w:r>
            <w:r w:rsidR="00A06A0D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877DA6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</w:rPr>
              <w:t xml:space="preserve"> 2</w:t>
            </w:r>
            <w:r w:rsidR="00915C9F" w:rsidRPr="0048388F">
              <w:rPr>
                <w:rFonts w:ascii="Times New Roman" w:hAnsi="Times New Roman" w:cs="Times New Roman"/>
              </w:rPr>
              <w:t>,</w:t>
            </w:r>
            <w:r w:rsidR="002B3D7C" w:rsidRPr="0048388F">
              <w:rPr>
                <w:rFonts w:ascii="Times New Roman" w:hAnsi="Times New Roman" w:cs="Times New Roman"/>
              </w:rPr>
              <w:t>8</w:t>
            </w:r>
            <w:r w:rsidR="00915C9F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336754" w:rsidTr="00D407C5">
        <w:trPr>
          <w:trHeight w:val="401"/>
        </w:trPr>
        <w:tc>
          <w:tcPr>
            <w:tcW w:w="3000" w:type="dxa"/>
            <w:vAlign w:val="center"/>
          </w:tcPr>
          <w:p w:rsidR="00336754" w:rsidRPr="00256D5D" w:rsidRDefault="00336754" w:rsidP="001C4AEE">
            <w:pPr>
              <w:ind w:right="4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Πολυκαταστή</w:t>
            </w:r>
            <w:r>
              <w:rPr>
                <w:rFonts w:ascii="Times New Roman" w:hAnsi="Times New Roman" w:cs="Times New Roman"/>
                <w:color w:val="000000"/>
              </w:rPr>
              <w:t>ματα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D407C5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-</w:t>
            </w:r>
            <w:r w:rsidR="002B3D7C" w:rsidRPr="0048388F">
              <w:rPr>
                <w:rFonts w:ascii="Times New Roman" w:hAnsi="Times New Roman" w:cs="Times New Roman"/>
              </w:rPr>
              <w:t>1</w:t>
            </w:r>
            <w:r w:rsidR="00A06A0D" w:rsidRPr="0048388F">
              <w:rPr>
                <w:rFonts w:ascii="Times New Roman" w:hAnsi="Times New Roman" w:cs="Times New Roman"/>
              </w:rPr>
              <w:t>,</w:t>
            </w:r>
            <w:r w:rsidR="00B1361D" w:rsidRPr="0048388F">
              <w:rPr>
                <w:rFonts w:ascii="Times New Roman" w:hAnsi="Times New Roman" w:cs="Times New Roman"/>
              </w:rPr>
              <w:t>0</w:t>
            </w:r>
            <w:r w:rsidR="00A06A0D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51328B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</w:t>
            </w:r>
            <w:r w:rsidR="00D407C5" w:rsidRPr="0048388F">
              <w:rPr>
                <w:rFonts w:ascii="Times New Roman" w:hAnsi="Times New Roman" w:cs="Times New Roman"/>
              </w:rPr>
              <w:t>-</w:t>
            </w:r>
            <w:r w:rsidR="002B3D7C" w:rsidRPr="0048388F">
              <w:rPr>
                <w:rFonts w:ascii="Times New Roman" w:hAnsi="Times New Roman" w:cs="Times New Roman"/>
              </w:rPr>
              <w:t>1</w:t>
            </w:r>
            <w:r w:rsidR="00915C9F" w:rsidRPr="0048388F">
              <w:rPr>
                <w:rFonts w:ascii="Times New Roman" w:hAnsi="Times New Roman" w:cs="Times New Roman"/>
              </w:rPr>
              <w:t>,</w:t>
            </w:r>
            <w:r w:rsidR="002B3D7C" w:rsidRPr="0048388F">
              <w:rPr>
                <w:rFonts w:ascii="Times New Roman" w:hAnsi="Times New Roman" w:cs="Times New Roman"/>
              </w:rPr>
              <w:t>4</w:t>
            </w:r>
            <w:r w:rsidR="00915C9F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336754" w:rsidTr="00D407C5">
        <w:trPr>
          <w:trHeight w:val="676"/>
        </w:trPr>
        <w:tc>
          <w:tcPr>
            <w:tcW w:w="3000" w:type="dxa"/>
            <w:vAlign w:val="center"/>
          </w:tcPr>
          <w:p w:rsidR="00336754" w:rsidRPr="00256D5D" w:rsidRDefault="00336754" w:rsidP="001C4AEE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Καταστήματα καυσίμων και λιπαντικών αυτοκινήτων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877DA6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</w:t>
            </w:r>
            <w:r w:rsidR="006341F9" w:rsidRPr="0048388F">
              <w:rPr>
                <w:rFonts w:ascii="Times New Roman" w:hAnsi="Times New Roman" w:cs="Times New Roman"/>
              </w:rPr>
              <w:t>3</w:t>
            </w:r>
            <w:r w:rsidR="00A06A0D" w:rsidRPr="0048388F">
              <w:rPr>
                <w:rFonts w:ascii="Times New Roman" w:hAnsi="Times New Roman" w:cs="Times New Roman"/>
              </w:rPr>
              <w:t>,</w:t>
            </w:r>
            <w:r w:rsidR="002B3D7C" w:rsidRPr="0048388F">
              <w:rPr>
                <w:rFonts w:ascii="Times New Roman" w:hAnsi="Times New Roman" w:cs="Times New Roman"/>
              </w:rPr>
              <w:t>3</w:t>
            </w:r>
            <w:r w:rsidR="00A06A0D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6341F9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</w:rPr>
              <w:t>2</w:t>
            </w:r>
            <w:r w:rsidR="008D758C" w:rsidRPr="0048388F">
              <w:rPr>
                <w:rFonts w:ascii="Times New Roman" w:hAnsi="Times New Roman" w:cs="Times New Roman"/>
              </w:rPr>
              <w:t>,</w:t>
            </w:r>
            <w:r w:rsidR="002B3D7C" w:rsidRPr="0048388F">
              <w:rPr>
                <w:rFonts w:ascii="Times New Roman" w:hAnsi="Times New Roman" w:cs="Times New Roman"/>
              </w:rPr>
              <w:t>0</w:t>
            </w:r>
            <w:r w:rsidR="00915C9F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336754" w:rsidTr="00D407C5">
        <w:trPr>
          <w:trHeight w:val="597"/>
        </w:trPr>
        <w:tc>
          <w:tcPr>
            <w:tcW w:w="3000" w:type="dxa"/>
            <w:vAlign w:val="center"/>
          </w:tcPr>
          <w:p w:rsidR="00336754" w:rsidRPr="00256D5D" w:rsidRDefault="00336754" w:rsidP="001C4AEE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Καταστήματα τροφίμων, ποτών και καπνού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2</w:t>
            </w:r>
            <w:r w:rsidR="00A06A0D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9</w:t>
            </w:r>
            <w:r w:rsidR="00A06A0D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2</w:t>
            </w:r>
            <w:r w:rsidR="00915C9F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6</w:t>
            </w:r>
            <w:r w:rsidR="00915C9F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336754" w:rsidTr="00D407C5">
        <w:trPr>
          <w:trHeight w:val="627"/>
        </w:trPr>
        <w:tc>
          <w:tcPr>
            <w:tcW w:w="3000" w:type="dxa"/>
            <w:vAlign w:val="center"/>
          </w:tcPr>
          <w:p w:rsidR="00336754" w:rsidRPr="00256D5D" w:rsidRDefault="00336754" w:rsidP="001C4AEE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 xml:space="preserve">Καταστήματα  φαρμακευτικών – καλλυντικών 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17</w:t>
            </w:r>
            <w:r w:rsidR="00A06A0D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4</w:t>
            </w:r>
            <w:r w:rsidR="00A06A0D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18</w:t>
            </w:r>
            <w:r w:rsidR="00915C9F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2</w:t>
            </w:r>
            <w:r w:rsidR="00915C9F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336754" w:rsidTr="00D407C5">
        <w:trPr>
          <w:trHeight w:val="696"/>
        </w:trPr>
        <w:tc>
          <w:tcPr>
            <w:tcW w:w="3000" w:type="dxa"/>
            <w:vAlign w:val="center"/>
          </w:tcPr>
          <w:p w:rsidR="00336754" w:rsidRPr="00256D5D" w:rsidRDefault="00336754" w:rsidP="001C4AEE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Καταστήματα  ένδυσης – υπόδησης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6341F9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-</w:t>
            </w:r>
            <w:r w:rsidR="002B3D7C" w:rsidRPr="0048388F">
              <w:rPr>
                <w:rFonts w:ascii="Times New Roman" w:hAnsi="Times New Roman" w:cs="Times New Roman"/>
              </w:rPr>
              <w:t>1</w:t>
            </w:r>
            <w:r w:rsidR="00D407C5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1</w:t>
            </w:r>
            <w:r w:rsidR="00D407C5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1</w:t>
            </w:r>
            <w:r w:rsidR="00915C9F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1</w:t>
            </w:r>
            <w:r w:rsidR="00915C9F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336754" w:rsidTr="00D407C5">
        <w:trPr>
          <w:trHeight w:val="988"/>
        </w:trPr>
        <w:tc>
          <w:tcPr>
            <w:tcW w:w="3000" w:type="dxa"/>
            <w:vAlign w:val="center"/>
          </w:tcPr>
          <w:p w:rsidR="00336754" w:rsidRPr="00256D5D" w:rsidRDefault="00336754" w:rsidP="001C4AEE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Καταστήματα επίπλων – ηλεκτρικών ειδών-οικιακού εξοπλισμού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657D26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</w:rPr>
              <w:t>1</w:t>
            </w:r>
            <w:r w:rsidR="00A06A0D" w:rsidRPr="0048388F">
              <w:rPr>
                <w:rFonts w:ascii="Times New Roman" w:hAnsi="Times New Roman" w:cs="Times New Roman"/>
              </w:rPr>
              <w:t>,</w:t>
            </w:r>
            <w:r w:rsidR="002B3D7C" w:rsidRPr="0048388F">
              <w:rPr>
                <w:rFonts w:ascii="Times New Roman" w:hAnsi="Times New Roman" w:cs="Times New Roman"/>
              </w:rPr>
              <w:t>0</w:t>
            </w:r>
            <w:r w:rsidR="00A06A0D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105313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</w:rPr>
              <w:t>1</w:t>
            </w:r>
            <w:r w:rsidR="00915C9F" w:rsidRPr="0048388F">
              <w:rPr>
                <w:rFonts w:ascii="Times New Roman" w:hAnsi="Times New Roman" w:cs="Times New Roman"/>
              </w:rPr>
              <w:t>,</w:t>
            </w:r>
            <w:r w:rsidR="002B3D7C" w:rsidRPr="0048388F">
              <w:rPr>
                <w:rFonts w:ascii="Times New Roman" w:hAnsi="Times New Roman" w:cs="Times New Roman"/>
              </w:rPr>
              <w:t>1</w:t>
            </w:r>
            <w:r w:rsidR="00915C9F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336754" w:rsidTr="00D407C5">
        <w:trPr>
          <w:trHeight w:val="622"/>
        </w:trPr>
        <w:tc>
          <w:tcPr>
            <w:tcW w:w="3000" w:type="dxa"/>
            <w:vAlign w:val="center"/>
          </w:tcPr>
          <w:p w:rsidR="00336754" w:rsidRPr="00256D5D" w:rsidRDefault="00336754" w:rsidP="001C4AEE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Καταστήματα βιβλίων –χαρτικών και λοιπών ειδών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7</w:t>
            </w:r>
            <w:r w:rsidR="00657D26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8</w:t>
            </w:r>
            <w:r w:rsidR="00A06A0D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2B3D7C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8</w:t>
            </w:r>
            <w:r w:rsidR="00915C9F" w:rsidRPr="0048388F">
              <w:rPr>
                <w:rFonts w:ascii="Times New Roman" w:hAnsi="Times New Roman" w:cs="Times New Roman"/>
              </w:rPr>
              <w:t>,</w:t>
            </w:r>
            <w:r w:rsidRPr="0048388F">
              <w:rPr>
                <w:rFonts w:ascii="Times New Roman" w:hAnsi="Times New Roman" w:cs="Times New Roman"/>
              </w:rPr>
              <w:t>2</w:t>
            </w:r>
            <w:r w:rsidR="00915C9F" w:rsidRPr="0048388F">
              <w:rPr>
                <w:rFonts w:ascii="Times New Roman" w:hAnsi="Times New Roman" w:cs="Times New Roman"/>
              </w:rPr>
              <w:t>%</w:t>
            </w:r>
          </w:p>
        </w:tc>
      </w:tr>
      <w:tr w:rsidR="00336754" w:rsidTr="00D407C5">
        <w:trPr>
          <w:trHeight w:val="476"/>
        </w:trPr>
        <w:tc>
          <w:tcPr>
            <w:tcW w:w="3000" w:type="dxa"/>
            <w:vAlign w:val="center"/>
          </w:tcPr>
          <w:p w:rsidR="00336754" w:rsidRPr="00256D5D" w:rsidRDefault="00336754" w:rsidP="001C4AEE">
            <w:pPr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256D5D">
              <w:rPr>
                <w:rFonts w:ascii="Times New Roman" w:hAnsi="Times New Roman" w:cs="Times New Roman"/>
                <w:color w:val="000000"/>
              </w:rPr>
              <w:t>Πωλήσεις εκτός καταστημάτων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336754" w:rsidRPr="0048388F" w:rsidRDefault="003E7619" w:rsidP="002B3D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 xml:space="preserve"> </w:t>
            </w:r>
            <w:r w:rsidR="002B3D7C" w:rsidRPr="0048388F">
              <w:rPr>
                <w:rFonts w:ascii="Times New Roman" w:hAnsi="Times New Roman" w:cs="Times New Roman"/>
              </w:rPr>
              <w:t>0</w:t>
            </w:r>
            <w:r w:rsidRPr="0048388F">
              <w:rPr>
                <w:rFonts w:ascii="Times New Roman" w:hAnsi="Times New Roman" w:cs="Times New Roman"/>
              </w:rPr>
              <w:t>,</w:t>
            </w:r>
            <w:r w:rsidR="002B3D7C" w:rsidRPr="0048388F">
              <w:rPr>
                <w:rFonts w:ascii="Times New Roman" w:hAnsi="Times New Roman" w:cs="Times New Roman"/>
              </w:rPr>
              <w:t>7</w:t>
            </w:r>
            <w:r w:rsidR="00A06A0D" w:rsidRPr="004838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6754" w:rsidRPr="0048388F" w:rsidRDefault="00292506" w:rsidP="001C4AE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8388F">
              <w:rPr>
                <w:rFonts w:ascii="Times New Roman" w:hAnsi="Times New Roman" w:cs="Times New Roman"/>
              </w:rPr>
              <w:t>-</w:t>
            </w:r>
          </w:p>
        </w:tc>
      </w:tr>
    </w:tbl>
    <w:p w:rsidR="00336754" w:rsidRPr="00A60969" w:rsidRDefault="00336754" w:rsidP="00A60969">
      <w:pPr>
        <w:pStyle w:val="Default"/>
        <w:rPr>
          <w:rFonts w:ascii="Times New Roman" w:hAnsi="Times New Roman" w:cs="Times New Roman"/>
          <w:sz w:val="25"/>
          <w:szCs w:val="25"/>
        </w:rPr>
      </w:pPr>
    </w:p>
    <w:sectPr w:rsidR="00336754" w:rsidRPr="00A60969" w:rsidSect="00956048">
      <w:footerReference w:type="default" r:id="rId9"/>
      <w:pgSz w:w="11906" w:h="16838"/>
      <w:pgMar w:top="567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DB" w:rsidRDefault="00CB55DB" w:rsidP="00A60969">
      <w:pPr>
        <w:spacing w:after="0" w:line="240" w:lineRule="auto"/>
      </w:pPr>
      <w:r>
        <w:separator/>
      </w:r>
    </w:p>
  </w:endnote>
  <w:endnote w:type="continuationSeparator" w:id="0">
    <w:p w:rsidR="00CB55DB" w:rsidRDefault="00CB55DB" w:rsidP="00A6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1535"/>
      <w:docPartObj>
        <w:docPartGallery w:val="Page Numbers (Bottom of Page)"/>
        <w:docPartUnique/>
      </w:docPartObj>
    </w:sdtPr>
    <w:sdtContent>
      <w:p w:rsidR="000C0579" w:rsidRDefault="000C0579">
        <w:pPr>
          <w:pStyle w:val="a4"/>
          <w:jc w:val="right"/>
        </w:pPr>
        <w:fldSimple w:instr=" PAGE   \* MERGEFORMAT ">
          <w:r w:rsidR="00A77565">
            <w:rPr>
              <w:noProof/>
            </w:rPr>
            <w:t>3</w:t>
          </w:r>
        </w:fldSimple>
      </w:p>
    </w:sdtContent>
  </w:sdt>
  <w:p w:rsidR="000C0579" w:rsidRDefault="000C05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DB" w:rsidRDefault="00CB55DB" w:rsidP="00A60969">
      <w:pPr>
        <w:spacing w:after="0" w:line="240" w:lineRule="auto"/>
      </w:pPr>
      <w:r>
        <w:separator/>
      </w:r>
    </w:p>
  </w:footnote>
  <w:footnote w:type="continuationSeparator" w:id="0">
    <w:p w:rsidR="00CB55DB" w:rsidRDefault="00CB55DB" w:rsidP="00A6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1F2"/>
    <w:multiLevelType w:val="hybridMultilevel"/>
    <w:tmpl w:val="B094AB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969"/>
    <w:rsid w:val="00011142"/>
    <w:rsid w:val="000161CB"/>
    <w:rsid w:val="000205CA"/>
    <w:rsid w:val="00025BBF"/>
    <w:rsid w:val="00025C22"/>
    <w:rsid w:val="000323CC"/>
    <w:rsid w:val="00044ED8"/>
    <w:rsid w:val="00054873"/>
    <w:rsid w:val="00055AE0"/>
    <w:rsid w:val="00060DD6"/>
    <w:rsid w:val="00061735"/>
    <w:rsid w:val="00062DCF"/>
    <w:rsid w:val="00063198"/>
    <w:rsid w:val="00065211"/>
    <w:rsid w:val="000727FD"/>
    <w:rsid w:val="00076A79"/>
    <w:rsid w:val="00082B63"/>
    <w:rsid w:val="00084ABC"/>
    <w:rsid w:val="00087D9F"/>
    <w:rsid w:val="00090CDE"/>
    <w:rsid w:val="00092DE4"/>
    <w:rsid w:val="0009301F"/>
    <w:rsid w:val="000957CE"/>
    <w:rsid w:val="000A4779"/>
    <w:rsid w:val="000C0550"/>
    <w:rsid w:val="000C0579"/>
    <w:rsid w:val="000C7AD6"/>
    <w:rsid w:val="000D3DBB"/>
    <w:rsid w:val="000D675E"/>
    <w:rsid w:val="000E4A49"/>
    <w:rsid w:val="000E7BD3"/>
    <w:rsid w:val="000F3174"/>
    <w:rsid w:val="000F67F4"/>
    <w:rsid w:val="000F6E8D"/>
    <w:rsid w:val="00105313"/>
    <w:rsid w:val="00105383"/>
    <w:rsid w:val="00130B6C"/>
    <w:rsid w:val="001358AC"/>
    <w:rsid w:val="0013591E"/>
    <w:rsid w:val="001376AD"/>
    <w:rsid w:val="001522D7"/>
    <w:rsid w:val="00152E0D"/>
    <w:rsid w:val="0016254D"/>
    <w:rsid w:val="00164C4E"/>
    <w:rsid w:val="001663F2"/>
    <w:rsid w:val="00173FA1"/>
    <w:rsid w:val="00175F7E"/>
    <w:rsid w:val="00177FAB"/>
    <w:rsid w:val="001800CC"/>
    <w:rsid w:val="00184826"/>
    <w:rsid w:val="00184C50"/>
    <w:rsid w:val="00190A2E"/>
    <w:rsid w:val="00190F81"/>
    <w:rsid w:val="00196586"/>
    <w:rsid w:val="001A00DA"/>
    <w:rsid w:val="001A1A08"/>
    <w:rsid w:val="001A1F5A"/>
    <w:rsid w:val="001B7382"/>
    <w:rsid w:val="001C4AEE"/>
    <w:rsid w:val="001D1DD2"/>
    <w:rsid w:val="001D2EFE"/>
    <w:rsid w:val="001D7B2C"/>
    <w:rsid w:val="001E4D32"/>
    <w:rsid w:val="0020144A"/>
    <w:rsid w:val="0020182E"/>
    <w:rsid w:val="00204FF8"/>
    <w:rsid w:val="002165A9"/>
    <w:rsid w:val="00222EB1"/>
    <w:rsid w:val="002244D0"/>
    <w:rsid w:val="00225A86"/>
    <w:rsid w:val="00226E7D"/>
    <w:rsid w:val="00240AAB"/>
    <w:rsid w:val="002430E8"/>
    <w:rsid w:val="0025478A"/>
    <w:rsid w:val="00256D5D"/>
    <w:rsid w:val="002574D7"/>
    <w:rsid w:val="002634D2"/>
    <w:rsid w:val="002677D6"/>
    <w:rsid w:val="00270E84"/>
    <w:rsid w:val="00272057"/>
    <w:rsid w:val="002753A5"/>
    <w:rsid w:val="00276436"/>
    <w:rsid w:val="00282E9E"/>
    <w:rsid w:val="002840B8"/>
    <w:rsid w:val="00286293"/>
    <w:rsid w:val="00292506"/>
    <w:rsid w:val="002A15F5"/>
    <w:rsid w:val="002A25D2"/>
    <w:rsid w:val="002A43EB"/>
    <w:rsid w:val="002B0F47"/>
    <w:rsid w:val="002B114C"/>
    <w:rsid w:val="002B3354"/>
    <w:rsid w:val="002B3D7C"/>
    <w:rsid w:val="002B4A6A"/>
    <w:rsid w:val="002C1ABA"/>
    <w:rsid w:val="002C308D"/>
    <w:rsid w:val="002D15B9"/>
    <w:rsid w:val="002D6185"/>
    <w:rsid w:val="002D6DC9"/>
    <w:rsid w:val="002E61A3"/>
    <w:rsid w:val="002E6320"/>
    <w:rsid w:val="002F2641"/>
    <w:rsid w:val="003017ED"/>
    <w:rsid w:val="00307C8A"/>
    <w:rsid w:val="00311B8F"/>
    <w:rsid w:val="003245AE"/>
    <w:rsid w:val="0033035D"/>
    <w:rsid w:val="003333D1"/>
    <w:rsid w:val="00336754"/>
    <w:rsid w:val="00340AF7"/>
    <w:rsid w:val="00343F32"/>
    <w:rsid w:val="003504A7"/>
    <w:rsid w:val="00353AFD"/>
    <w:rsid w:val="0036022D"/>
    <w:rsid w:val="00362AF9"/>
    <w:rsid w:val="00363BB4"/>
    <w:rsid w:val="00364A41"/>
    <w:rsid w:val="0036731A"/>
    <w:rsid w:val="003711C8"/>
    <w:rsid w:val="00371D25"/>
    <w:rsid w:val="00373807"/>
    <w:rsid w:val="00380E3E"/>
    <w:rsid w:val="00386CFB"/>
    <w:rsid w:val="00391873"/>
    <w:rsid w:val="003924B1"/>
    <w:rsid w:val="0039252E"/>
    <w:rsid w:val="003A31F7"/>
    <w:rsid w:val="003A3A0F"/>
    <w:rsid w:val="003B0C19"/>
    <w:rsid w:val="003B6F4E"/>
    <w:rsid w:val="003B73A6"/>
    <w:rsid w:val="003D5619"/>
    <w:rsid w:val="003E2668"/>
    <w:rsid w:val="003E7619"/>
    <w:rsid w:val="003F0289"/>
    <w:rsid w:val="00420916"/>
    <w:rsid w:val="004214C1"/>
    <w:rsid w:val="004230F8"/>
    <w:rsid w:val="00434EA6"/>
    <w:rsid w:val="00437102"/>
    <w:rsid w:val="004528EE"/>
    <w:rsid w:val="00453CDD"/>
    <w:rsid w:val="00466E8E"/>
    <w:rsid w:val="004703F2"/>
    <w:rsid w:val="00480923"/>
    <w:rsid w:val="0048388F"/>
    <w:rsid w:val="00483E5B"/>
    <w:rsid w:val="00484FA3"/>
    <w:rsid w:val="00492B97"/>
    <w:rsid w:val="004A0302"/>
    <w:rsid w:val="004A0956"/>
    <w:rsid w:val="004B4BD1"/>
    <w:rsid w:val="004C5B13"/>
    <w:rsid w:val="004D15BD"/>
    <w:rsid w:val="004D3878"/>
    <w:rsid w:val="004E150C"/>
    <w:rsid w:val="004E5298"/>
    <w:rsid w:val="004E71D3"/>
    <w:rsid w:val="004E7DE2"/>
    <w:rsid w:val="004F1499"/>
    <w:rsid w:val="004F1E88"/>
    <w:rsid w:val="004F2584"/>
    <w:rsid w:val="004F2841"/>
    <w:rsid w:val="00501349"/>
    <w:rsid w:val="00502563"/>
    <w:rsid w:val="00505F0F"/>
    <w:rsid w:val="0051328B"/>
    <w:rsid w:val="005219E8"/>
    <w:rsid w:val="005351BD"/>
    <w:rsid w:val="0055182D"/>
    <w:rsid w:val="005531B6"/>
    <w:rsid w:val="005661B4"/>
    <w:rsid w:val="005671BA"/>
    <w:rsid w:val="00567FC8"/>
    <w:rsid w:val="00572759"/>
    <w:rsid w:val="0057630D"/>
    <w:rsid w:val="00576B8E"/>
    <w:rsid w:val="005775D9"/>
    <w:rsid w:val="0058222B"/>
    <w:rsid w:val="00587C77"/>
    <w:rsid w:val="00590EE7"/>
    <w:rsid w:val="005A013E"/>
    <w:rsid w:val="005A0C57"/>
    <w:rsid w:val="005A4070"/>
    <w:rsid w:val="005B3FA9"/>
    <w:rsid w:val="005B5BD7"/>
    <w:rsid w:val="005B6535"/>
    <w:rsid w:val="005B778B"/>
    <w:rsid w:val="005C064C"/>
    <w:rsid w:val="005C5F6F"/>
    <w:rsid w:val="005C6840"/>
    <w:rsid w:val="005D4332"/>
    <w:rsid w:val="005D5102"/>
    <w:rsid w:val="005D51FB"/>
    <w:rsid w:val="005D7902"/>
    <w:rsid w:val="005D7DE8"/>
    <w:rsid w:val="005E1A3C"/>
    <w:rsid w:val="005F1D78"/>
    <w:rsid w:val="005F472A"/>
    <w:rsid w:val="0060667F"/>
    <w:rsid w:val="006068E3"/>
    <w:rsid w:val="00607017"/>
    <w:rsid w:val="00612EA3"/>
    <w:rsid w:val="00622133"/>
    <w:rsid w:val="00631203"/>
    <w:rsid w:val="006341F9"/>
    <w:rsid w:val="00634230"/>
    <w:rsid w:val="0063745C"/>
    <w:rsid w:val="00637D74"/>
    <w:rsid w:val="006425A0"/>
    <w:rsid w:val="00646C6C"/>
    <w:rsid w:val="006522DB"/>
    <w:rsid w:val="0065482A"/>
    <w:rsid w:val="00655F57"/>
    <w:rsid w:val="00657D26"/>
    <w:rsid w:val="00667E5B"/>
    <w:rsid w:val="00671A7A"/>
    <w:rsid w:val="006721F3"/>
    <w:rsid w:val="00683533"/>
    <w:rsid w:val="00683BC5"/>
    <w:rsid w:val="00685181"/>
    <w:rsid w:val="006851EC"/>
    <w:rsid w:val="0068720F"/>
    <w:rsid w:val="00697C01"/>
    <w:rsid w:val="006A74B1"/>
    <w:rsid w:val="006B21FB"/>
    <w:rsid w:val="006B6685"/>
    <w:rsid w:val="006C290C"/>
    <w:rsid w:val="006C5090"/>
    <w:rsid w:val="006C6152"/>
    <w:rsid w:val="006C7833"/>
    <w:rsid w:val="006D020F"/>
    <w:rsid w:val="006D5049"/>
    <w:rsid w:val="006E1EB7"/>
    <w:rsid w:val="006E44E8"/>
    <w:rsid w:val="006F17AB"/>
    <w:rsid w:val="006F2547"/>
    <w:rsid w:val="006F272D"/>
    <w:rsid w:val="006F7579"/>
    <w:rsid w:val="0070194E"/>
    <w:rsid w:val="0071459A"/>
    <w:rsid w:val="007172B6"/>
    <w:rsid w:val="007263DD"/>
    <w:rsid w:val="00727E5B"/>
    <w:rsid w:val="0073199E"/>
    <w:rsid w:val="00733BC5"/>
    <w:rsid w:val="007340EA"/>
    <w:rsid w:val="00734721"/>
    <w:rsid w:val="00737018"/>
    <w:rsid w:val="00746FA9"/>
    <w:rsid w:val="00760335"/>
    <w:rsid w:val="0076312B"/>
    <w:rsid w:val="007704E1"/>
    <w:rsid w:val="00782B1E"/>
    <w:rsid w:val="007843BA"/>
    <w:rsid w:val="00795893"/>
    <w:rsid w:val="007A0911"/>
    <w:rsid w:val="007B1ED4"/>
    <w:rsid w:val="007D45D6"/>
    <w:rsid w:val="007E00D3"/>
    <w:rsid w:val="007E2465"/>
    <w:rsid w:val="007F2385"/>
    <w:rsid w:val="007F3D53"/>
    <w:rsid w:val="008001F9"/>
    <w:rsid w:val="00800547"/>
    <w:rsid w:val="008100AF"/>
    <w:rsid w:val="00820361"/>
    <w:rsid w:val="00820D83"/>
    <w:rsid w:val="00823B56"/>
    <w:rsid w:val="00833BB4"/>
    <w:rsid w:val="00837246"/>
    <w:rsid w:val="0084316B"/>
    <w:rsid w:val="00844E25"/>
    <w:rsid w:val="00845996"/>
    <w:rsid w:val="0084698C"/>
    <w:rsid w:val="008607F2"/>
    <w:rsid w:val="00866DFE"/>
    <w:rsid w:val="00871C77"/>
    <w:rsid w:val="00877DA6"/>
    <w:rsid w:val="0088141F"/>
    <w:rsid w:val="008842D2"/>
    <w:rsid w:val="00884B2E"/>
    <w:rsid w:val="00892FE2"/>
    <w:rsid w:val="00895B6A"/>
    <w:rsid w:val="0089708A"/>
    <w:rsid w:val="008B1944"/>
    <w:rsid w:val="008D1945"/>
    <w:rsid w:val="008D3164"/>
    <w:rsid w:val="008D3C7C"/>
    <w:rsid w:val="008D63E3"/>
    <w:rsid w:val="008D758C"/>
    <w:rsid w:val="008E051E"/>
    <w:rsid w:val="008E6295"/>
    <w:rsid w:val="008F5EE6"/>
    <w:rsid w:val="008F669E"/>
    <w:rsid w:val="00906530"/>
    <w:rsid w:val="00911535"/>
    <w:rsid w:val="00914B67"/>
    <w:rsid w:val="00915C9F"/>
    <w:rsid w:val="00923FA1"/>
    <w:rsid w:val="00926242"/>
    <w:rsid w:val="009425FE"/>
    <w:rsid w:val="00945E31"/>
    <w:rsid w:val="00946143"/>
    <w:rsid w:val="0094700D"/>
    <w:rsid w:val="00952545"/>
    <w:rsid w:val="00956048"/>
    <w:rsid w:val="0095724B"/>
    <w:rsid w:val="00962A81"/>
    <w:rsid w:val="00962E1F"/>
    <w:rsid w:val="00967705"/>
    <w:rsid w:val="0097128E"/>
    <w:rsid w:val="00973BBA"/>
    <w:rsid w:val="00995800"/>
    <w:rsid w:val="009A2361"/>
    <w:rsid w:val="009A3B72"/>
    <w:rsid w:val="009A7029"/>
    <w:rsid w:val="009C6775"/>
    <w:rsid w:val="009C7A0D"/>
    <w:rsid w:val="009D2FC5"/>
    <w:rsid w:val="009E575C"/>
    <w:rsid w:val="009E5A8A"/>
    <w:rsid w:val="009F1CDF"/>
    <w:rsid w:val="009F35A5"/>
    <w:rsid w:val="00A02357"/>
    <w:rsid w:val="00A02828"/>
    <w:rsid w:val="00A0447F"/>
    <w:rsid w:val="00A05993"/>
    <w:rsid w:val="00A06A0D"/>
    <w:rsid w:val="00A079A1"/>
    <w:rsid w:val="00A07D3E"/>
    <w:rsid w:val="00A103A3"/>
    <w:rsid w:val="00A13FCB"/>
    <w:rsid w:val="00A141C0"/>
    <w:rsid w:val="00A150FA"/>
    <w:rsid w:val="00A17578"/>
    <w:rsid w:val="00A23978"/>
    <w:rsid w:val="00A26861"/>
    <w:rsid w:val="00A3034C"/>
    <w:rsid w:val="00A303F6"/>
    <w:rsid w:val="00A32CB2"/>
    <w:rsid w:val="00A40B31"/>
    <w:rsid w:val="00A43D42"/>
    <w:rsid w:val="00A51DAD"/>
    <w:rsid w:val="00A54906"/>
    <w:rsid w:val="00A56E79"/>
    <w:rsid w:val="00A57735"/>
    <w:rsid w:val="00A60969"/>
    <w:rsid w:val="00A65480"/>
    <w:rsid w:val="00A667A2"/>
    <w:rsid w:val="00A71F3D"/>
    <w:rsid w:val="00A77330"/>
    <w:rsid w:val="00A77565"/>
    <w:rsid w:val="00A84278"/>
    <w:rsid w:val="00A85979"/>
    <w:rsid w:val="00AA3E3A"/>
    <w:rsid w:val="00AA5D2C"/>
    <w:rsid w:val="00AB02A9"/>
    <w:rsid w:val="00AB0B01"/>
    <w:rsid w:val="00AB6212"/>
    <w:rsid w:val="00AD24E6"/>
    <w:rsid w:val="00AD4081"/>
    <w:rsid w:val="00AE0C24"/>
    <w:rsid w:val="00AE387D"/>
    <w:rsid w:val="00AE7F6D"/>
    <w:rsid w:val="00AF46D5"/>
    <w:rsid w:val="00B02B73"/>
    <w:rsid w:val="00B039FD"/>
    <w:rsid w:val="00B04120"/>
    <w:rsid w:val="00B0584D"/>
    <w:rsid w:val="00B0707C"/>
    <w:rsid w:val="00B07652"/>
    <w:rsid w:val="00B10CC0"/>
    <w:rsid w:val="00B1361D"/>
    <w:rsid w:val="00B20424"/>
    <w:rsid w:val="00B20F25"/>
    <w:rsid w:val="00B320DD"/>
    <w:rsid w:val="00B4410C"/>
    <w:rsid w:val="00B526B8"/>
    <w:rsid w:val="00B53DDC"/>
    <w:rsid w:val="00B54E34"/>
    <w:rsid w:val="00B61D6B"/>
    <w:rsid w:val="00B661FB"/>
    <w:rsid w:val="00B75F35"/>
    <w:rsid w:val="00B76763"/>
    <w:rsid w:val="00B80015"/>
    <w:rsid w:val="00B81199"/>
    <w:rsid w:val="00B84F1A"/>
    <w:rsid w:val="00B85B63"/>
    <w:rsid w:val="00B866A7"/>
    <w:rsid w:val="00B86811"/>
    <w:rsid w:val="00B9123F"/>
    <w:rsid w:val="00B93403"/>
    <w:rsid w:val="00BA37E7"/>
    <w:rsid w:val="00BA7C92"/>
    <w:rsid w:val="00BB1F4B"/>
    <w:rsid w:val="00BB358B"/>
    <w:rsid w:val="00BB628F"/>
    <w:rsid w:val="00BC0A81"/>
    <w:rsid w:val="00BD625E"/>
    <w:rsid w:val="00BE4032"/>
    <w:rsid w:val="00BF2749"/>
    <w:rsid w:val="00C01D00"/>
    <w:rsid w:val="00C0233E"/>
    <w:rsid w:val="00C04C97"/>
    <w:rsid w:val="00C055F9"/>
    <w:rsid w:val="00C0655B"/>
    <w:rsid w:val="00C20913"/>
    <w:rsid w:val="00C27805"/>
    <w:rsid w:val="00C36103"/>
    <w:rsid w:val="00C37EAC"/>
    <w:rsid w:val="00C40347"/>
    <w:rsid w:val="00C409A8"/>
    <w:rsid w:val="00C41262"/>
    <w:rsid w:val="00C429C2"/>
    <w:rsid w:val="00C45608"/>
    <w:rsid w:val="00C45A1E"/>
    <w:rsid w:val="00C53978"/>
    <w:rsid w:val="00C62707"/>
    <w:rsid w:val="00C6415B"/>
    <w:rsid w:val="00C71EAC"/>
    <w:rsid w:val="00C725DB"/>
    <w:rsid w:val="00C80DD0"/>
    <w:rsid w:val="00C835A1"/>
    <w:rsid w:val="00C970B3"/>
    <w:rsid w:val="00C97511"/>
    <w:rsid w:val="00CA2399"/>
    <w:rsid w:val="00CA410F"/>
    <w:rsid w:val="00CB2160"/>
    <w:rsid w:val="00CB55DB"/>
    <w:rsid w:val="00CB7E83"/>
    <w:rsid w:val="00CC19B2"/>
    <w:rsid w:val="00CC20A9"/>
    <w:rsid w:val="00CC3129"/>
    <w:rsid w:val="00CC4FE0"/>
    <w:rsid w:val="00CD1A65"/>
    <w:rsid w:val="00CD5E41"/>
    <w:rsid w:val="00CE1915"/>
    <w:rsid w:val="00CE2B91"/>
    <w:rsid w:val="00CE32FC"/>
    <w:rsid w:val="00CE5DE0"/>
    <w:rsid w:val="00CE7C2D"/>
    <w:rsid w:val="00CF29E9"/>
    <w:rsid w:val="00CF317C"/>
    <w:rsid w:val="00CF6439"/>
    <w:rsid w:val="00CF6CEA"/>
    <w:rsid w:val="00CF7E95"/>
    <w:rsid w:val="00D0173A"/>
    <w:rsid w:val="00D02BA8"/>
    <w:rsid w:val="00D17152"/>
    <w:rsid w:val="00D1772C"/>
    <w:rsid w:val="00D27ABE"/>
    <w:rsid w:val="00D30A25"/>
    <w:rsid w:val="00D331A6"/>
    <w:rsid w:val="00D35538"/>
    <w:rsid w:val="00D36255"/>
    <w:rsid w:val="00D40741"/>
    <w:rsid w:val="00D407C5"/>
    <w:rsid w:val="00D45110"/>
    <w:rsid w:val="00D471D8"/>
    <w:rsid w:val="00D53490"/>
    <w:rsid w:val="00D5380D"/>
    <w:rsid w:val="00D53B88"/>
    <w:rsid w:val="00D55A24"/>
    <w:rsid w:val="00D608E8"/>
    <w:rsid w:val="00D6734B"/>
    <w:rsid w:val="00D72177"/>
    <w:rsid w:val="00D80693"/>
    <w:rsid w:val="00D8175F"/>
    <w:rsid w:val="00D87B11"/>
    <w:rsid w:val="00D92AAD"/>
    <w:rsid w:val="00D937D9"/>
    <w:rsid w:val="00D94CAD"/>
    <w:rsid w:val="00D95C3D"/>
    <w:rsid w:val="00DA5DC9"/>
    <w:rsid w:val="00DA7664"/>
    <w:rsid w:val="00DA7E0F"/>
    <w:rsid w:val="00DC0135"/>
    <w:rsid w:val="00DC30A1"/>
    <w:rsid w:val="00DC79E4"/>
    <w:rsid w:val="00DD0D83"/>
    <w:rsid w:val="00DE7F74"/>
    <w:rsid w:val="00DF1978"/>
    <w:rsid w:val="00DF72F9"/>
    <w:rsid w:val="00E01EC1"/>
    <w:rsid w:val="00E0652E"/>
    <w:rsid w:val="00E1384E"/>
    <w:rsid w:val="00E41110"/>
    <w:rsid w:val="00E446E0"/>
    <w:rsid w:val="00E44F63"/>
    <w:rsid w:val="00E54055"/>
    <w:rsid w:val="00E5472E"/>
    <w:rsid w:val="00E54A61"/>
    <w:rsid w:val="00E57164"/>
    <w:rsid w:val="00E57805"/>
    <w:rsid w:val="00E61AA1"/>
    <w:rsid w:val="00E65FD5"/>
    <w:rsid w:val="00E71DFC"/>
    <w:rsid w:val="00E76CBB"/>
    <w:rsid w:val="00E80DFC"/>
    <w:rsid w:val="00E954D6"/>
    <w:rsid w:val="00EA419D"/>
    <w:rsid w:val="00EB656D"/>
    <w:rsid w:val="00EC101D"/>
    <w:rsid w:val="00EC42FA"/>
    <w:rsid w:val="00EC49AE"/>
    <w:rsid w:val="00EC4F48"/>
    <w:rsid w:val="00ED523D"/>
    <w:rsid w:val="00EE4837"/>
    <w:rsid w:val="00EE73ED"/>
    <w:rsid w:val="00EF1B75"/>
    <w:rsid w:val="00F005E5"/>
    <w:rsid w:val="00F06C6F"/>
    <w:rsid w:val="00F11618"/>
    <w:rsid w:val="00F1208D"/>
    <w:rsid w:val="00F15627"/>
    <w:rsid w:val="00F265EC"/>
    <w:rsid w:val="00F34A1E"/>
    <w:rsid w:val="00F358AD"/>
    <w:rsid w:val="00F37E43"/>
    <w:rsid w:val="00F56B44"/>
    <w:rsid w:val="00F64E4B"/>
    <w:rsid w:val="00F7311A"/>
    <w:rsid w:val="00F75445"/>
    <w:rsid w:val="00F8334A"/>
    <w:rsid w:val="00F878E6"/>
    <w:rsid w:val="00F9278C"/>
    <w:rsid w:val="00F95C4D"/>
    <w:rsid w:val="00FA0411"/>
    <w:rsid w:val="00FA06FC"/>
    <w:rsid w:val="00FA0EC3"/>
    <w:rsid w:val="00FA235F"/>
    <w:rsid w:val="00FC0177"/>
    <w:rsid w:val="00FC3D8A"/>
    <w:rsid w:val="00FD246B"/>
    <w:rsid w:val="00FD37D2"/>
    <w:rsid w:val="00FD39AB"/>
    <w:rsid w:val="00FD73F4"/>
    <w:rsid w:val="00FF10EB"/>
    <w:rsid w:val="00FF2257"/>
    <w:rsid w:val="00FF60E4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9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60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60969"/>
  </w:style>
  <w:style w:type="paragraph" w:styleId="a4">
    <w:name w:val="footer"/>
    <w:basedOn w:val="a"/>
    <w:link w:val="Char0"/>
    <w:uiPriority w:val="99"/>
    <w:unhideWhenUsed/>
    <w:rsid w:val="00A60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60969"/>
  </w:style>
  <w:style w:type="paragraph" w:styleId="a5">
    <w:name w:val="Balloon Text"/>
    <w:basedOn w:val="a"/>
    <w:link w:val="Char1"/>
    <w:uiPriority w:val="99"/>
    <w:semiHidden/>
    <w:unhideWhenUsed/>
    <w:rsid w:val="00A6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096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56D5D"/>
    <w:rPr>
      <w:i/>
      <w:iCs/>
    </w:rPr>
  </w:style>
  <w:style w:type="character" w:styleId="a7">
    <w:name w:val="Strong"/>
    <w:basedOn w:val="a0"/>
    <w:uiPriority w:val="22"/>
    <w:qFormat/>
    <w:rsid w:val="00256D5D"/>
    <w:rPr>
      <w:b/>
      <w:bCs/>
    </w:rPr>
  </w:style>
  <w:style w:type="paragraph" w:styleId="Web">
    <w:name w:val="Normal (Web)"/>
    <w:basedOn w:val="a"/>
    <w:uiPriority w:val="99"/>
    <w:unhideWhenUsed/>
    <w:rsid w:val="0025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59"/>
    <w:rsid w:val="00D9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185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679820723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  <w:divsChild>
                <w:div w:id="33703335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8795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5783">
                                  <w:marLeft w:val="0"/>
                                  <w:marRight w:val="0"/>
                                  <w:marTop w:val="648"/>
                                  <w:marBottom w:val="0"/>
                                  <w:divBdr>
                                    <w:top w:val="single" w:sz="4" w:space="0" w:color="CECFCF"/>
                                    <w:left w:val="single" w:sz="4" w:space="0" w:color="CECFCF"/>
                                    <w:bottom w:val="single" w:sz="4" w:space="0" w:color="CECFCF"/>
                                    <w:right w:val="single" w:sz="4" w:space="0" w:color="CECFCF"/>
                                  </w:divBdr>
                                  <w:divsChild>
                                    <w:div w:id="54179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  <w:divsChild>
                                        <w:div w:id="138964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80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495AA-B7B4-4210-B32D-8AAF8B93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51</cp:revision>
  <dcterms:created xsi:type="dcterms:W3CDTF">2019-03-29T11:37:00Z</dcterms:created>
  <dcterms:modified xsi:type="dcterms:W3CDTF">2020-04-04T12:07:00Z</dcterms:modified>
</cp:coreProperties>
</file>